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3F1F4"/>
  <w:body>
    <w:p w14:paraId="218E3254" w14:textId="7DF50173" w:rsidR="003D4207" w:rsidRPr="004F38B7" w:rsidRDefault="003D4207" w:rsidP="000F6504">
      <w:pPr>
        <w:jc w:val="both"/>
        <w:rPr>
          <w:rFonts w:ascii="Candara" w:eastAsia="Times New Roman" w:hAnsi="Candara" w:cs="Times New Roman"/>
          <w:noProof w:val="0"/>
          <w:color w:val="FFFFFF" w:themeColor="background1"/>
          <w:sz w:val="44"/>
          <w:szCs w:val="44"/>
          <w:shd w:val="clear" w:color="auto" w:fill="00B050"/>
        </w:rPr>
      </w:pPr>
    </w:p>
    <w:p w14:paraId="47B78B33" w14:textId="3B6758F1" w:rsidR="00C138D3" w:rsidRPr="004F38B7" w:rsidRDefault="00BD51F5" w:rsidP="000F6504">
      <w:pPr>
        <w:jc w:val="both"/>
        <w:rPr>
          <w:rFonts w:ascii="Candara" w:eastAsia="Times New Roman" w:hAnsi="Candara" w:cs="Times New Roman"/>
          <w:noProof w:val="0"/>
          <w:sz w:val="72"/>
          <w:szCs w:val="72"/>
        </w:rPr>
      </w:pPr>
      <w:r w:rsidRPr="004F38B7">
        <w:rPr>
          <w:rFonts w:ascii="Candara" w:eastAsia="Times New Roman" w:hAnsi="Candara" w:cs="Times New Roman"/>
          <w:noProof w:val="0"/>
          <w:color w:val="FFFFFF" w:themeColor="background1"/>
          <w:sz w:val="72"/>
          <w:szCs w:val="72"/>
          <w:shd w:val="clear" w:color="auto" w:fill="00B050"/>
          <w:lang w:val="en-US"/>
        </w:rPr>
        <w:fldChar w:fldCharType="begin"/>
      </w:r>
      <w:r w:rsidRPr="004F38B7">
        <w:rPr>
          <w:rFonts w:ascii="Candara" w:eastAsia="Times New Roman" w:hAnsi="Candara" w:cs="Times New Roman"/>
          <w:noProof w:val="0"/>
          <w:color w:val="FFFFFF" w:themeColor="background1"/>
          <w:sz w:val="72"/>
          <w:szCs w:val="72"/>
          <w:shd w:val="clear" w:color="auto" w:fill="00B050"/>
        </w:rPr>
        <w:instrText xml:space="preserve"> INCLUDEPICTURE "https://encrypted-tbn0.gstatic.com/images?q=tbn:ANd9GcT2WoLGVe3DpjDtBxDa-HxF62mkk5j2mAMETTM-oj0D79EbaWoQ6BJCU0aDUI4KeejPKLg&amp;usqp=CAU" \* MERGEFORMATINET </w:instrText>
      </w:r>
      <w:r w:rsidRPr="004F38B7">
        <w:rPr>
          <w:rFonts w:ascii="Candara" w:eastAsia="Times New Roman" w:hAnsi="Candara" w:cs="Times New Roman"/>
          <w:noProof w:val="0"/>
          <w:color w:val="FFFFFF" w:themeColor="background1"/>
          <w:sz w:val="72"/>
          <w:szCs w:val="72"/>
          <w:shd w:val="clear" w:color="auto" w:fill="00B050"/>
          <w:lang w:val="en-US"/>
        </w:rPr>
        <w:fldChar w:fldCharType="end"/>
      </w:r>
      <w:r w:rsidR="00C138D3" w:rsidRPr="004F38B7">
        <w:rPr>
          <w:rFonts w:ascii="Candara" w:hAnsi="Candara"/>
          <w:b/>
          <w:color w:val="FFFFFF" w:themeColor="background1"/>
          <w:sz w:val="72"/>
          <w:szCs w:val="72"/>
          <w:shd w:val="clear" w:color="auto" w:fill="00B050"/>
        </w:rPr>
        <w:t>NEWSLETTER JURIDIQUE</w:t>
      </w:r>
      <w:r w:rsidR="003D4207" w:rsidRPr="004F38B7">
        <w:rPr>
          <w:rFonts w:ascii="Candara" w:hAnsi="Candara"/>
          <w:sz w:val="72"/>
          <w:szCs w:val="72"/>
        </w:rPr>
        <w:t xml:space="preserve"> </w:t>
      </w:r>
      <w:r w:rsidRPr="004F38B7">
        <w:rPr>
          <w:rFonts w:ascii="Candara" w:eastAsia="Times New Roman" w:hAnsi="Candara" w:cs="Times New Roman"/>
          <w:noProof w:val="0"/>
          <w:sz w:val="72"/>
          <w:szCs w:val="72"/>
          <w:lang w:val="en-US"/>
        </w:rPr>
        <w:fldChar w:fldCharType="begin"/>
      </w:r>
      <w:r w:rsidRPr="004F38B7">
        <w:rPr>
          <w:rFonts w:ascii="Candara" w:eastAsia="Times New Roman" w:hAnsi="Candara" w:cs="Times New Roman"/>
          <w:noProof w:val="0"/>
          <w:sz w:val="72"/>
          <w:szCs w:val="72"/>
        </w:rPr>
        <w:instrText xml:space="preserve"> INCLUDEPICTURE "https://www.farmyng.eu/wp-content/uploads/2020/08/hudson-newsletter.png" \* MERGEFORMATINET </w:instrText>
      </w:r>
      <w:r w:rsidRPr="004F38B7">
        <w:rPr>
          <w:rFonts w:ascii="Candara" w:eastAsia="Times New Roman" w:hAnsi="Candara" w:cs="Times New Roman"/>
          <w:noProof w:val="0"/>
          <w:sz w:val="72"/>
          <w:szCs w:val="72"/>
          <w:lang w:val="en-US"/>
        </w:rPr>
        <w:fldChar w:fldCharType="end"/>
      </w:r>
    </w:p>
    <w:p w14:paraId="207360C0" w14:textId="35E77B38" w:rsidR="003D4207" w:rsidRPr="004F38B7" w:rsidRDefault="00EC5EA2" w:rsidP="000F6504">
      <w:pPr>
        <w:jc w:val="both"/>
        <w:rPr>
          <w:rFonts w:ascii="Candara" w:hAnsi="Candara"/>
          <w:color w:val="FFFFFF" w:themeColor="background1"/>
          <w:sz w:val="44"/>
          <w:szCs w:val="44"/>
          <w:shd w:val="clear" w:color="auto" w:fill="00B050"/>
        </w:rPr>
      </w:pPr>
      <w:r w:rsidRPr="004F38B7">
        <w:rPr>
          <w:rFonts w:ascii="Candara" w:hAnsi="Candara"/>
          <w:color w:val="FFFFFF" w:themeColor="background1"/>
          <w:sz w:val="44"/>
          <w:szCs w:val="44"/>
          <w:shd w:val="clear" w:color="auto" w:fill="00B050"/>
          <w:lang w:val="en-US"/>
        </w:rPr>
        <w:drawing>
          <wp:anchor distT="0" distB="0" distL="114300" distR="114300" simplePos="0" relativeHeight="251660288" behindDoc="0" locked="0" layoutInCell="1" allowOverlap="1" wp14:anchorId="55FE1047" wp14:editId="67CFE8C3">
            <wp:simplePos x="0" y="0"/>
            <wp:positionH relativeFrom="margin">
              <wp:posOffset>3348355</wp:posOffset>
            </wp:positionH>
            <wp:positionV relativeFrom="margin">
              <wp:posOffset>1090930</wp:posOffset>
            </wp:positionV>
            <wp:extent cx="2640965" cy="1965325"/>
            <wp:effectExtent l="0" t="0" r="635" b="3175"/>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2640965" cy="1965325"/>
                    </a:xfrm>
                    <a:prstGeom prst="rect">
                      <a:avLst/>
                    </a:prstGeom>
                  </pic:spPr>
                </pic:pic>
              </a:graphicData>
            </a:graphic>
            <wp14:sizeRelH relativeFrom="margin">
              <wp14:pctWidth>0</wp14:pctWidth>
            </wp14:sizeRelH>
            <wp14:sizeRelV relativeFrom="margin">
              <wp14:pctHeight>0</wp14:pctHeight>
            </wp14:sizeRelV>
          </wp:anchor>
        </w:drawing>
      </w:r>
      <w:r w:rsidR="003D4207" w:rsidRPr="004F38B7">
        <w:rPr>
          <w:rFonts w:ascii="Candara" w:eastAsia="Times New Roman" w:hAnsi="Candara"/>
          <w:lang w:val="en-US"/>
        </w:rPr>
        <w:fldChar w:fldCharType="begin"/>
      </w:r>
      <w:r w:rsidR="003D4207" w:rsidRPr="004F38B7">
        <w:rPr>
          <w:rFonts w:ascii="Candara" w:eastAsia="Times New Roman" w:hAnsi="Candara"/>
        </w:rPr>
        <w:instrText xml:space="preserve"> INCLUDEPICTURE "https://img.freepik.com/premium-vector/symbol-law-justice-concept-law-justice-scales-justice-gavel-book-vector-illustration-can-be-used-as-logo-legality_153097-939.jpg?w=2000" \* MERGEFORMATINET </w:instrText>
      </w:r>
      <w:r w:rsidR="003D4207" w:rsidRPr="004F38B7">
        <w:rPr>
          <w:rFonts w:ascii="Candara" w:eastAsia="Times New Roman" w:hAnsi="Candara"/>
          <w:lang w:val="en-US"/>
        </w:rPr>
        <w:fldChar w:fldCharType="end"/>
      </w:r>
      <w:r w:rsidR="00BD51F5" w:rsidRPr="004F38B7">
        <w:rPr>
          <w:rFonts w:ascii="Candara" w:hAnsi="Candara"/>
          <w:sz w:val="44"/>
          <w:szCs w:val="44"/>
        </w:rPr>
        <w:br/>
      </w:r>
      <w:r w:rsidR="00C138D3" w:rsidRPr="004F38B7">
        <w:rPr>
          <w:rFonts w:ascii="Candara" w:hAnsi="Candara"/>
          <w:b/>
          <w:color w:val="FFFFFF" w:themeColor="background1"/>
          <w:sz w:val="44"/>
          <w:szCs w:val="44"/>
          <w:shd w:val="clear" w:color="auto" w:fill="00B050"/>
        </w:rPr>
        <w:t>|</w:t>
      </w:r>
      <w:r w:rsidR="003D4207" w:rsidRPr="004F38B7">
        <w:rPr>
          <w:rFonts w:ascii="Candara" w:hAnsi="Candara"/>
          <w:b/>
          <w:color w:val="FFFFFF" w:themeColor="background1"/>
          <w:sz w:val="44"/>
          <w:szCs w:val="44"/>
          <w:shd w:val="clear" w:color="auto" w:fill="00B050"/>
        </w:rPr>
        <w:t xml:space="preserve"> </w:t>
      </w:r>
      <w:r w:rsidR="00C138D3" w:rsidRPr="004F38B7">
        <w:rPr>
          <w:rFonts w:ascii="Candara" w:hAnsi="Candara"/>
          <w:b/>
          <w:color w:val="FFFFFF" w:themeColor="background1"/>
          <w:sz w:val="44"/>
          <w:szCs w:val="44"/>
          <w:shd w:val="clear" w:color="auto" w:fill="00B050"/>
        </w:rPr>
        <w:t>Guinée – OHADA</w:t>
      </w:r>
      <w:r w:rsidR="00C138D3" w:rsidRPr="004F38B7">
        <w:rPr>
          <w:rFonts w:ascii="Candara" w:hAnsi="Candara"/>
          <w:color w:val="FFFFFF" w:themeColor="background1"/>
          <w:sz w:val="44"/>
          <w:szCs w:val="44"/>
          <w:shd w:val="clear" w:color="auto" w:fill="00B050"/>
        </w:rPr>
        <w:t xml:space="preserve"> |</w:t>
      </w:r>
      <w:r w:rsidR="003D4207" w:rsidRPr="004F38B7">
        <w:rPr>
          <w:rFonts w:ascii="Candara" w:hAnsi="Candara"/>
          <w:color w:val="FFFFFF" w:themeColor="background1"/>
          <w:sz w:val="44"/>
          <w:szCs w:val="44"/>
          <w:shd w:val="clear" w:color="auto" w:fill="00B050"/>
        </w:rPr>
        <w:t xml:space="preserve"> </w:t>
      </w:r>
      <w:r w:rsidR="008B4C35" w:rsidRPr="004F38B7">
        <w:rPr>
          <w:rFonts w:ascii="Candara" w:hAnsi="Candara"/>
          <w:color w:val="FFFFFF" w:themeColor="background1"/>
          <w:sz w:val="44"/>
          <w:szCs w:val="44"/>
          <w:shd w:val="clear" w:color="auto" w:fill="00B050"/>
        </w:rPr>
        <w:t xml:space="preserve"> </w:t>
      </w:r>
    </w:p>
    <w:p w14:paraId="1C36033B" w14:textId="6DD633F5" w:rsidR="00C138D3" w:rsidRPr="004F38B7" w:rsidRDefault="003D4207" w:rsidP="000F6504">
      <w:pPr>
        <w:jc w:val="both"/>
        <w:rPr>
          <w:rFonts w:ascii="Candara" w:hAnsi="Candara"/>
          <w:b/>
          <w:sz w:val="44"/>
          <w:szCs w:val="44"/>
        </w:rPr>
      </w:pPr>
      <w:r w:rsidRPr="004F38B7">
        <w:rPr>
          <w:rFonts w:ascii="Candara" w:hAnsi="Candara"/>
          <w:b/>
          <w:color w:val="FFFFFF" w:themeColor="background1"/>
          <w:sz w:val="44"/>
          <w:szCs w:val="44"/>
          <w:shd w:val="clear" w:color="auto" w:fill="00B050"/>
        </w:rPr>
        <w:br/>
        <w:t xml:space="preserve">| </w:t>
      </w:r>
      <w:r w:rsidR="00266482" w:rsidRPr="004F38B7">
        <w:rPr>
          <w:rFonts w:ascii="Candara" w:hAnsi="Candara"/>
          <w:b/>
          <w:color w:val="FFFFFF" w:themeColor="background1"/>
          <w:sz w:val="44"/>
          <w:szCs w:val="44"/>
          <w:shd w:val="clear" w:color="auto" w:fill="00B050"/>
        </w:rPr>
        <w:t>07</w:t>
      </w:r>
      <w:r w:rsidR="00E35B74" w:rsidRPr="004F38B7">
        <w:rPr>
          <w:rFonts w:ascii="Candara" w:hAnsi="Candara"/>
          <w:b/>
          <w:color w:val="FFFFFF" w:themeColor="background1"/>
          <w:sz w:val="44"/>
          <w:szCs w:val="44"/>
          <w:shd w:val="clear" w:color="auto" w:fill="00B050"/>
        </w:rPr>
        <w:t xml:space="preserve"> </w:t>
      </w:r>
      <w:r w:rsidR="00266482" w:rsidRPr="004F38B7">
        <w:rPr>
          <w:rFonts w:ascii="Candara" w:hAnsi="Candara"/>
          <w:b/>
          <w:color w:val="FFFFFF" w:themeColor="background1"/>
          <w:sz w:val="44"/>
          <w:szCs w:val="44"/>
          <w:shd w:val="clear" w:color="auto" w:fill="00B050"/>
        </w:rPr>
        <w:t>Févrie</w:t>
      </w:r>
      <w:r w:rsidR="00323A24" w:rsidRPr="004F38B7">
        <w:rPr>
          <w:rFonts w:ascii="Candara" w:hAnsi="Candara"/>
          <w:b/>
          <w:color w:val="FFFFFF" w:themeColor="background1"/>
          <w:sz w:val="44"/>
          <w:szCs w:val="44"/>
          <w:shd w:val="clear" w:color="auto" w:fill="00B050"/>
        </w:rPr>
        <w:t xml:space="preserve">r </w:t>
      </w:r>
      <w:r w:rsidR="0041762D" w:rsidRPr="004F38B7">
        <w:rPr>
          <w:rFonts w:ascii="Candara" w:hAnsi="Candara"/>
          <w:b/>
          <w:color w:val="FFFFFF" w:themeColor="background1"/>
          <w:sz w:val="44"/>
          <w:szCs w:val="44"/>
          <w:shd w:val="clear" w:color="auto" w:fill="00B050"/>
        </w:rPr>
        <w:t>202</w:t>
      </w:r>
      <w:r w:rsidR="00F903A0" w:rsidRPr="004F38B7">
        <w:rPr>
          <w:rFonts w:ascii="Candara" w:hAnsi="Candara"/>
          <w:b/>
          <w:color w:val="FFFFFF" w:themeColor="background1"/>
          <w:sz w:val="44"/>
          <w:szCs w:val="44"/>
          <w:shd w:val="clear" w:color="auto" w:fill="00B050"/>
        </w:rPr>
        <w:t>5</w:t>
      </w:r>
      <w:r w:rsidR="00C138D3" w:rsidRPr="004F38B7">
        <w:rPr>
          <w:rFonts w:ascii="Candara" w:hAnsi="Candara"/>
          <w:b/>
          <w:color w:val="FFFFFF" w:themeColor="background1"/>
          <w:sz w:val="44"/>
          <w:szCs w:val="44"/>
          <w:shd w:val="clear" w:color="auto" w:fill="00B050"/>
        </w:rPr>
        <w:t xml:space="preserve"> |</w:t>
      </w:r>
    </w:p>
    <w:p w14:paraId="2A645E4B" w14:textId="77777777" w:rsidR="003D4207" w:rsidRPr="004F38B7" w:rsidRDefault="003D4207" w:rsidP="000F6504">
      <w:pPr>
        <w:jc w:val="both"/>
        <w:rPr>
          <w:rFonts w:ascii="Candara" w:hAnsi="Candara"/>
          <w:b/>
          <w:sz w:val="44"/>
          <w:szCs w:val="44"/>
        </w:rPr>
      </w:pPr>
    </w:p>
    <w:p w14:paraId="0C32A0BA" w14:textId="571DB98E" w:rsidR="00C138D3" w:rsidRPr="004F38B7" w:rsidRDefault="00C138D3" w:rsidP="000F6504">
      <w:pPr>
        <w:jc w:val="both"/>
        <w:rPr>
          <w:rFonts w:ascii="Candara" w:hAnsi="Candara"/>
          <w:sz w:val="44"/>
          <w:szCs w:val="44"/>
        </w:rPr>
      </w:pPr>
      <w:r w:rsidRPr="004F38B7">
        <w:rPr>
          <w:rFonts w:ascii="Candara" w:hAnsi="Candara"/>
          <w:b/>
          <w:color w:val="FFFFFF" w:themeColor="background1"/>
          <w:sz w:val="44"/>
          <w:szCs w:val="44"/>
          <w:shd w:val="clear" w:color="auto" w:fill="00B050"/>
        </w:rPr>
        <w:t>Guilex Avocats</w:t>
      </w:r>
    </w:p>
    <w:p w14:paraId="56657226" w14:textId="77777777" w:rsidR="003D4207" w:rsidRPr="004F38B7" w:rsidRDefault="003D4207" w:rsidP="000F6504">
      <w:pPr>
        <w:jc w:val="both"/>
        <w:rPr>
          <w:rFonts w:ascii="Candara" w:hAnsi="Candara"/>
          <w:sz w:val="28"/>
          <w:szCs w:val="28"/>
        </w:rPr>
      </w:pPr>
    </w:p>
    <w:p w14:paraId="3B849056" w14:textId="65E0CEA4" w:rsidR="00C138D3" w:rsidRPr="004F38B7" w:rsidRDefault="00C138D3" w:rsidP="00080F75">
      <w:pPr>
        <w:jc w:val="both"/>
        <w:rPr>
          <w:rFonts w:ascii="Candara" w:hAnsi="Candara"/>
          <w:b/>
        </w:rPr>
      </w:pPr>
      <w:r w:rsidRPr="004F38B7">
        <w:rPr>
          <w:rFonts w:ascii="Candara" w:hAnsi="Candara"/>
        </w:rPr>
        <w:t>Cette newsletter préparée par le cabinet Guilex Avocats vous informe des derniers développement dans le domaine juridique</w:t>
      </w:r>
      <w:r w:rsidR="00FC625B" w:rsidRPr="004F38B7">
        <w:rPr>
          <w:rFonts w:ascii="Candara" w:hAnsi="Candara"/>
        </w:rPr>
        <w:t xml:space="preserve"> et judicaire</w:t>
      </w:r>
      <w:r w:rsidRPr="004F38B7">
        <w:rPr>
          <w:rFonts w:ascii="Candara" w:hAnsi="Candara"/>
        </w:rPr>
        <w:t xml:space="preserve"> en République de Guinée et dans l’espace OHADA. Pour nous contacter :</w:t>
      </w:r>
      <w:r w:rsidR="00AF5819" w:rsidRPr="004F38B7">
        <w:rPr>
          <w:rFonts w:ascii="Candara" w:hAnsi="Candara"/>
        </w:rPr>
        <w:t xml:space="preserve"> </w:t>
      </w:r>
      <w:r w:rsidRPr="004F38B7">
        <w:rPr>
          <w:rFonts w:ascii="Candara" w:hAnsi="Candara"/>
          <w:b/>
        </w:rPr>
        <w:t>contact@guilex-avocats.com</w:t>
      </w:r>
    </w:p>
    <w:p w14:paraId="7C6458EB" w14:textId="77777777" w:rsidR="00FC625B" w:rsidRPr="004F38B7" w:rsidRDefault="00FC625B" w:rsidP="000F6504">
      <w:pPr>
        <w:jc w:val="both"/>
        <w:rPr>
          <w:rFonts w:ascii="Candara" w:hAnsi="Candara"/>
        </w:rPr>
      </w:pPr>
    </w:p>
    <w:p w14:paraId="5BFC2F55" w14:textId="3ED7A558" w:rsidR="00C138D3" w:rsidRPr="004F38B7" w:rsidRDefault="00C138D3" w:rsidP="008E7926">
      <w:pPr>
        <w:jc w:val="center"/>
        <w:rPr>
          <w:rFonts w:ascii="Candara" w:hAnsi="Candara"/>
          <w:b/>
          <w:sz w:val="28"/>
          <w:szCs w:val="28"/>
        </w:rPr>
      </w:pPr>
      <w:r w:rsidRPr="004F38B7">
        <w:rPr>
          <w:rFonts w:ascii="Candara" w:hAnsi="Candara"/>
          <w:b/>
          <w:sz w:val="28"/>
          <w:szCs w:val="28"/>
        </w:rPr>
        <w:t>www.guilex-avocats.com</w:t>
      </w:r>
    </w:p>
    <w:p w14:paraId="21CFFB02" w14:textId="42DD393E" w:rsidR="00C138D3" w:rsidRPr="004F38B7" w:rsidRDefault="00C138D3" w:rsidP="000F6504">
      <w:pPr>
        <w:jc w:val="both"/>
        <w:rPr>
          <w:rFonts w:ascii="Candara" w:hAnsi="Candara"/>
          <w:sz w:val="20"/>
          <w:szCs w:val="20"/>
        </w:rPr>
      </w:pPr>
    </w:p>
    <w:p w14:paraId="5D80B2FE" w14:textId="2807ED4B" w:rsidR="00AF5819" w:rsidRPr="004F38B7" w:rsidRDefault="00C138D3" w:rsidP="008E7926">
      <w:pPr>
        <w:shd w:val="clear" w:color="auto" w:fill="00B050"/>
        <w:jc w:val="center"/>
        <w:rPr>
          <w:rFonts w:ascii="Candara" w:hAnsi="Candara"/>
          <w:b/>
          <w:color w:val="FFFFFF" w:themeColor="background1"/>
          <w:sz w:val="28"/>
          <w:szCs w:val="28"/>
        </w:rPr>
      </w:pPr>
      <w:r w:rsidRPr="004F38B7">
        <w:rPr>
          <w:rFonts w:ascii="Candara" w:hAnsi="Candara"/>
          <w:b/>
          <w:color w:val="FFFFFF" w:themeColor="background1"/>
          <w:sz w:val="28"/>
          <w:szCs w:val="28"/>
        </w:rPr>
        <w:t>ACTUALITES JURIDIQUES</w:t>
      </w:r>
    </w:p>
    <w:p w14:paraId="399730E5" w14:textId="3AEF20BD" w:rsidR="003D25FE" w:rsidRDefault="00C138D3">
      <w:pPr>
        <w:pStyle w:val="TOC1"/>
        <w:tabs>
          <w:tab w:val="left" w:pos="480"/>
          <w:tab w:val="right" w:leader="dot" w:pos="9350"/>
        </w:tabs>
        <w:rPr>
          <w:rFonts w:asciiTheme="minorHAnsi" w:eastAsiaTheme="minorEastAsia" w:hAnsiTheme="minorHAnsi"/>
          <w:b w:val="0"/>
          <w:bCs w:val="0"/>
          <w:iCs w:val="0"/>
        </w:rPr>
      </w:pPr>
      <w:r w:rsidRPr="004F38B7">
        <w:rPr>
          <w:sz w:val="20"/>
          <w:szCs w:val="20"/>
        </w:rPr>
        <w:fldChar w:fldCharType="begin"/>
      </w:r>
      <w:r w:rsidRPr="004F38B7">
        <w:rPr>
          <w:sz w:val="20"/>
          <w:szCs w:val="20"/>
        </w:rPr>
        <w:instrText xml:space="preserve"> TOC \o "1-3" \h \z \u </w:instrText>
      </w:r>
      <w:r w:rsidRPr="004F38B7">
        <w:rPr>
          <w:sz w:val="20"/>
          <w:szCs w:val="20"/>
        </w:rPr>
        <w:fldChar w:fldCharType="separate"/>
      </w:r>
      <w:hyperlink w:anchor="_Toc190085455" w:history="1">
        <w:r w:rsidR="003D25FE" w:rsidRPr="003C52A4">
          <w:rPr>
            <w:rStyle w:val="Hyperlink"/>
          </w:rPr>
          <w:t>1.</w:t>
        </w:r>
        <w:r w:rsidR="003D25FE">
          <w:rPr>
            <w:rFonts w:asciiTheme="minorHAnsi" w:eastAsiaTheme="minorEastAsia" w:hAnsiTheme="minorHAnsi"/>
            <w:b w:val="0"/>
            <w:bCs w:val="0"/>
            <w:iCs w:val="0"/>
          </w:rPr>
          <w:tab/>
        </w:r>
        <w:r w:rsidR="003D25FE" w:rsidRPr="003C52A4">
          <w:rPr>
            <w:rStyle w:val="Hyperlink"/>
          </w:rPr>
          <w:t>DROIT MINIER ET DE L’ENERGIE</w:t>
        </w:r>
        <w:r w:rsidR="003D25FE">
          <w:rPr>
            <w:webHidden/>
          </w:rPr>
          <w:tab/>
        </w:r>
        <w:r w:rsidR="003D25FE">
          <w:rPr>
            <w:webHidden/>
          </w:rPr>
          <w:fldChar w:fldCharType="begin"/>
        </w:r>
        <w:r w:rsidR="003D25FE">
          <w:rPr>
            <w:webHidden/>
          </w:rPr>
          <w:instrText xml:space="preserve"> PAGEREF _Toc190085455 \h </w:instrText>
        </w:r>
        <w:r w:rsidR="003D25FE">
          <w:rPr>
            <w:webHidden/>
          </w:rPr>
        </w:r>
        <w:r w:rsidR="003D25FE">
          <w:rPr>
            <w:webHidden/>
          </w:rPr>
          <w:fldChar w:fldCharType="separate"/>
        </w:r>
        <w:r w:rsidR="003D25FE">
          <w:rPr>
            <w:webHidden/>
          </w:rPr>
          <w:t>2</w:t>
        </w:r>
        <w:r w:rsidR="003D25FE">
          <w:rPr>
            <w:webHidden/>
          </w:rPr>
          <w:fldChar w:fldCharType="end"/>
        </w:r>
      </w:hyperlink>
    </w:p>
    <w:p w14:paraId="783BA584" w14:textId="0CB693C0" w:rsidR="003D25FE" w:rsidRDefault="003D25FE">
      <w:pPr>
        <w:pStyle w:val="TOC2"/>
        <w:tabs>
          <w:tab w:val="left" w:pos="960"/>
          <w:tab w:val="right" w:leader="dot" w:pos="9350"/>
        </w:tabs>
        <w:rPr>
          <w:rFonts w:asciiTheme="minorHAnsi" w:eastAsiaTheme="minorEastAsia" w:hAnsiTheme="minorHAnsi"/>
          <w:bCs w:val="0"/>
          <w:sz w:val="24"/>
          <w:szCs w:val="24"/>
        </w:rPr>
      </w:pPr>
      <w:hyperlink w:anchor="_Toc190085456" w:history="1">
        <w:r w:rsidRPr="003C52A4">
          <w:rPr>
            <w:rStyle w:val="Hyperlink"/>
          </w:rPr>
          <w:t>1.1-</w:t>
        </w:r>
        <w:r>
          <w:rPr>
            <w:rFonts w:asciiTheme="minorHAnsi" w:eastAsiaTheme="minorEastAsia" w:hAnsiTheme="minorHAnsi"/>
            <w:bCs w:val="0"/>
            <w:sz w:val="24"/>
            <w:szCs w:val="24"/>
          </w:rPr>
          <w:tab/>
        </w:r>
        <w:r w:rsidRPr="003C52A4">
          <w:rPr>
            <w:rStyle w:val="Hyperlink"/>
          </w:rPr>
          <w:t>Certification de la société minière CBG à la norme de performance de l’Aluminium Stewardship Initiative (ASI)</w:t>
        </w:r>
        <w:r>
          <w:rPr>
            <w:webHidden/>
          </w:rPr>
          <w:tab/>
        </w:r>
        <w:r>
          <w:rPr>
            <w:webHidden/>
          </w:rPr>
          <w:fldChar w:fldCharType="begin"/>
        </w:r>
        <w:r>
          <w:rPr>
            <w:webHidden/>
          </w:rPr>
          <w:instrText xml:space="preserve"> PAGEREF _Toc190085456 \h </w:instrText>
        </w:r>
        <w:r>
          <w:rPr>
            <w:webHidden/>
          </w:rPr>
        </w:r>
        <w:r>
          <w:rPr>
            <w:webHidden/>
          </w:rPr>
          <w:fldChar w:fldCharType="separate"/>
        </w:r>
        <w:r>
          <w:rPr>
            <w:webHidden/>
          </w:rPr>
          <w:t>3</w:t>
        </w:r>
        <w:r>
          <w:rPr>
            <w:webHidden/>
          </w:rPr>
          <w:fldChar w:fldCharType="end"/>
        </w:r>
      </w:hyperlink>
    </w:p>
    <w:p w14:paraId="2349C179" w14:textId="07C663C7" w:rsidR="003D25FE" w:rsidRDefault="003D25FE">
      <w:pPr>
        <w:pStyle w:val="TOC2"/>
        <w:tabs>
          <w:tab w:val="left" w:pos="960"/>
          <w:tab w:val="right" w:leader="dot" w:pos="9350"/>
        </w:tabs>
        <w:rPr>
          <w:rFonts w:asciiTheme="minorHAnsi" w:eastAsiaTheme="minorEastAsia" w:hAnsiTheme="minorHAnsi"/>
          <w:bCs w:val="0"/>
          <w:sz w:val="24"/>
          <w:szCs w:val="24"/>
        </w:rPr>
      </w:pPr>
      <w:hyperlink w:anchor="_Toc190085457" w:history="1">
        <w:r w:rsidRPr="003C52A4">
          <w:rPr>
            <w:rStyle w:val="Hyperlink"/>
          </w:rPr>
          <w:t>1.2-</w:t>
        </w:r>
        <w:r>
          <w:rPr>
            <w:rFonts w:asciiTheme="minorHAnsi" w:eastAsiaTheme="minorEastAsia" w:hAnsiTheme="minorHAnsi"/>
            <w:bCs w:val="0"/>
            <w:sz w:val="24"/>
            <w:szCs w:val="24"/>
          </w:rPr>
          <w:tab/>
        </w:r>
        <w:r w:rsidRPr="003C52A4">
          <w:rPr>
            <w:rStyle w:val="Hyperlink"/>
          </w:rPr>
          <w:t>Suspension du préavis de grève de l’intersyndicale des fédérations des mines, carrières, industries minières et assimilés</w:t>
        </w:r>
        <w:r>
          <w:rPr>
            <w:webHidden/>
          </w:rPr>
          <w:tab/>
        </w:r>
        <w:r>
          <w:rPr>
            <w:webHidden/>
          </w:rPr>
          <w:fldChar w:fldCharType="begin"/>
        </w:r>
        <w:r>
          <w:rPr>
            <w:webHidden/>
          </w:rPr>
          <w:instrText xml:space="preserve"> PAGEREF _Toc190085457 \h </w:instrText>
        </w:r>
        <w:r>
          <w:rPr>
            <w:webHidden/>
          </w:rPr>
        </w:r>
        <w:r>
          <w:rPr>
            <w:webHidden/>
          </w:rPr>
          <w:fldChar w:fldCharType="separate"/>
        </w:r>
        <w:r>
          <w:rPr>
            <w:webHidden/>
          </w:rPr>
          <w:t>3</w:t>
        </w:r>
        <w:r>
          <w:rPr>
            <w:webHidden/>
          </w:rPr>
          <w:fldChar w:fldCharType="end"/>
        </w:r>
      </w:hyperlink>
    </w:p>
    <w:p w14:paraId="5F9016FF" w14:textId="7CD721BF" w:rsidR="003D25FE" w:rsidRDefault="003D25FE">
      <w:pPr>
        <w:pStyle w:val="TOC2"/>
        <w:tabs>
          <w:tab w:val="left" w:pos="960"/>
          <w:tab w:val="right" w:leader="dot" w:pos="9350"/>
        </w:tabs>
        <w:rPr>
          <w:rFonts w:asciiTheme="minorHAnsi" w:eastAsiaTheme="minorEastAsia" w:hAnsiTheme="minorHAnsi"/>
          <w:bCs w:val="0"/>
          <w:sz w:val="24"/>
          <w:szCs w:val="24"/>
        </w:rPr>
      </w:pPr>
      <w:hyperlink w:anchor="_Toc190085458" w:history="1">
        <w:r w:rsidRPr="003C52A4">
          <w:rPr>
            <w:rStyle w:val="Hyperlink"/>
          </w:rPr>
          <w:t>1.3-</w:t>
        </w:r>
        <w:r>
          <w:rPr>
            <w:rFonts w:asciiTheme="minorHAnsi" w:eastAsiaTheme="minorEastAsia" w:hAnsiTheme="minorHAnsi"/>
            <w:bCs w:val="0"/>
            <w:sz w:val="24"/>
            <w:szCs w:val="24"/>
          </w:rPr>
          <w:tab/>
        </w:r>
        <w:r w:rsidRPr="003C52A4">
          <w:rPr>
            <w:rStyle w:val="Hyperlink"/>
          </w:rPr>
          <w:t>Examen de la convention relative à la réalisation de la centrale solaire de Koumanguéli</w:t>
        </w:r>
        <w:r>
          <w:rPr>
            <w:webHidden/>
          </w:rPr>
          <w:tab/>
        </w:r>
        <w:r>
          <w:rPr>
            <w:webHidden/>
          </w:rPr>
          <w:fldChar w:fldCharType="begin"/>
        </w:r>
        <w:r>
          <w:rPr>
            <w:webHidden/>
          </w:rPr>
          <w:instrText xml:space="preserve"> PAGEREF _Toc190085458 \h </w:instrText>
        </w:r>
        <w:r>
          <w:rPr>
            <w:webHidden/>
          </w:rPr>
        </w:r>
        <w:r>
          <w:rPr>
            <w:webHidden/>
          </w:rPr>
          <w:fldChar w:fldCharType="separate"/>
        </w:r>
        <w:r>
          <w:rPr>
            <w:webHidden/>
          </w:rPr>
          <w:t>3</w:t>
        </w:r>
        <w:r>
          <w:rPr>
            <w:webHidden/>
          </w:rPr>
          <w:fldChar w:fldCharType="end"/>
        </w:r>
      </w:hyperlink>
    </w:p>
    <w:p w14:paraId="35CF1EE3" w14:textId="31BF98E4" w:rsidR="003D25FE" w:rsidRDefault="003D25FE">
      <w:pPr>
        <w:pStyle w:val="TOC1"/>
        <w:tabs>
          <w:tab w:val="left" w:pos="480"/>
          <w:tab w:val="right" w:leader="dot" w:pos="9350"/>
        </w:tabs>
        <w:rPr>
          <w:rFonts w:asciiTheme="minorHAnsi" w:eastAsiaTheme="minorEastAsia" w:hAnsiTheme="minorHAnsi"/>
          <w:b w:val="0"/>
          <w:bCs w:val="0"/>
          <w:iCs w:val="0"/>
        </w:rPr>
      </w:pPr>
      <w:hyperlink w:anchor="_Toc190085459" w:history="1">
        <w:r w:rsidRPr="003C52A4">
          <w:rPr>
            <w:rStyle w:val="Hyperlink"/>
          </w:rPr>
          <w:t>2.</w:t>
        </w:r>
        <w:r>
          <w:rPr>
            <w:rFonts w:asciiTheme="minorHAnsi" w:eastAsiaTheme="minorEastAsia" w:hAnsiTheme="minorHAnsi"/>
            <w:b w:val="0"/>
            <w:bCs w:val="0"/>
            <w:iCs w:val="0"/>
          </w:rPr>
          <w:tab/>
        </w:r>
        <w:r w:rsidRPr="003C52A4">
          <w:rPr>
            <w:rStyle w:val="Hyperlink"/>
          </w:rPr>
          <w:t>DROIT DES SOCIETES</w:t>
        </w:r>
        <w:r>
          <w:rPr>
            <w:webHidden/>
          </w:rPr>
          <w:tab/>
        </w:r>
        <w:r>
          <w:rPr>
            <w:webHidden/>
          </w:rPr>
          <w:fldChar w:fldCharType="begin"/>
        </w:r>
        <w:r>
          <w:rPr>
            <w:webHidden/>
          </w:rPr>
          <w:instrText xml:space="preserve"> PAGEREF _Toc190085459 \h </w:instrText>
        </w:r>
        <w:r>
          <w:rPr>
            <w:webHidden/>
          </w:rPr>
        </w:r>
        <w:r>
          <w:rPr>
            <w:webHidden/>
          </w:rPr>
          <w:fldChar w:fldCharType="separate"/>
        </w:r>
        <w:r>
          <w:rPr>
            <w:webHidden/>
          </w:rPr>
          <w:t>3</w:t>
        </w:r>
        <w:r>
          <w:rPr>
            <w:webHidden/>
          </w:rPr>
          <w:fldChar w:fldCharType="end"/>
        </w:r>
      </w:hyperlink>
    </w:p>
    <w:p w14:paraId="65E0B3AB" w14:textId="2612AF07" w:rsidR="003D25FE" w:rsidRDefault="003D25FE">
      <w:pPr>
        <w:pStyle w:val="TOC2"/>
        <w:tabs>
          <w:tab w:val="left" w:pos="720"/>
          <w:tab w:val="right" w:leader="dot" w:pos="9350"/>
        </w:tabs>
        <w:rPr>
          <w:rFonts w:asciiTheme="minorHAnsi" w:eastAsiaTheme="minorEastAsia" w:hAnsiTheme="minorHAnsi"/>
          <w:bCs w:val="0"/>
          <w:sz w:val="24"/>
          <w:szCs w:val="24"/>
        </w:rPr>
      </w:pPr>
      <w:hyperlink w:anchor="_Toc190085460" w:history="1">
        <w:r w:rsidRPr="003C52A4">
          <w:rPr>
            <w:rStyle w:val="Hyperlink"/>
          </w:rPr>
          <w:t>2.1</w:t>
        </w:r>
        <w:r>
          <w:rPr>
            <w:rFonts w:asciiTheme="minorHAnsi" w:eastAsiaTheme="minorEastAsia" w:hAnsiTheme="minorHAnsi"/>
            <w:bCs w:val="0"/>
            <w:sz w:val="24"/>
            <w:szCs w:val="24"/>
          </w:rPr>
          <w:tab/>
        </w:r>
        <w:r w:rsidRPr="003C52A4">
          <w:rPr>
            <w:rStyle w:val="Hyperlink"/>
            <w:lang w:val="fr-CA"/>
          </w:rPr>
          <w:t>La limite des pouvoirs des dirigeants sociaux de la société en liquidation</w:t>
        </w:r>
        <w:r>
          <w:rPr>
            <w:webHidden/>
          </w:rPr>
          <w:tab/>
        </w:r>
        <w:r>
          <w:rPr>
            <w:webHidden/>
          </w:rPr>
          <w:fldChar w:fldCharType="begin"/>
        </w:r>
        <w:r>
          <w:rPr>
            <w:webHidden/>
          </w:rPr>
          <w:instrText xml:space="preserve"> PAGEREF _Toc190085460 \h </w:instrText>
        </w:r>
        <w:r>
          <w:rPr>
            <w:webHidden/>
          </w:rPr>
        </w:r>
        <w:r>
          <w:rPr>
            <w:webHidden/>
          </w:rPr>
          <w:fldChar w:fldCharType="separate"/>
        </w:r>
        <w:r>
          <w:rPr>
            <w:webHidden/>
          </w:rPr>
          <w:t>4</w:t>
        </w:r>
        <w:r>
          <w:rPr>
            <w:webHidden/>
          </w:rPr>
          <w:fldChar w:fldCharType="end"/>
        </w:r>
      </w:hyperlink>
    </w:p>
    <w:p w14:paraId="785992B7" w14:textId="5B47A31F" w:rsidR="003D25FE" w:rsidRDefault="003D25FE">
      <w:pPr>
        <w:pStyle w:val="TOC2"/>
        <w:tabs>
          <w:tab w:val="left" w:pos="960"/>
          <w:tab w:val="right" w:leader="dot" w:pos="9350"/>
        </w:tabs>
        <w:rPr>
          <w:rFonts w:asciiTheme="minorHAnsi" w:eastAsiaTheme="minorEastAsia" w:hAnsiTheme="minorHAnsi"/>
          <w:bCs w:val="0"/>
          <w:sz w:val="24"/>
          <w:szCs w:val="24"/>
        </w:rPr>
      </w:pPr>
      <w:hyperlink w:anchor="_Toc190085461" w:history="1">
        <w:r w:rsidRPr="003C52A4">
          <w:rPr>
            <w:rStyle w:val="Hyperlink"/>
          </w:rPr>
          <w:t>2.2</w:t>
        </w:r>
        <w:r>
          <w:rPr>
            <w:rFonts w:asciiTheme="minorHAnsi" w:eastAsiaTheme="minorEastAsia" w:hAnsiTheme="minorHAnsi"/>
            <w:bCs w:val="0"/>
            <w:sz w:val="24"/>
            <w:szCs w:val="24"/>
          </w:rPr>
          <w:tab/>
        </w:r>
        <w:r w:rsidRPr="003C52A4">
          <w:rPr>
            <w:rStyle w:val="Hyperlink"/>
          </w:rPr>
          <w:t>Obligation pour les dirigeants sociaux, de respecter le droit préférentiel de souscription des actionnaires en cas d’augmentation du capital social</w:t>
        </w:r>
        <w:r>
          <w:rPr>
            <w:webHidden/>
          </w:rPr>
          <w:tab/>
        </w:r>
        <w:r>
          <w:rPr>
            <w:webHidden/>
          </w:rPr>
          <w:fldChar w:fldCharType="begin"/>
        </w:r>
        <w:r>
          <w:rPr>
            <w:webHidden/>
          </w:rPr>
          <w:instrText xml:space="preserve"> PAGEREF _Toc190085461 \h </w:instrText>
        </w:r>
        <w:r>
          <w:rPr>
            <w:webHidden/>
          </w:rPr>
        </w:r>
        <w:r>
          <w:rPr>
            <w:webHidden/>
          </w:rPr>
          <w:fldChar w:fldCharType="separate"/>
        </w:r>
        <w:r>
          <w:rPr>
            <w:webHidden/>
          </w:rPr>
          <w:t>4</w:t>
        </w:r>
        <w:r>
          <w:rPr>
            <w:webHidden/>
          </w:rPr>
          <w:fldChar w:fldCharType="end"/>
        </w:r>
      </w:hyperlink>
    </w:p>
    <w:p w14:paraId="1F5E7064" w14:textId="45F0609C" w:rsidR="003D25FE" w:rsidRDefault="003D25FE">
      <w:pPr>
        <w:pStyle w:val="TOC2"/>
        <w:tabs>
          <w:tab w:val="left" w:pos="960"/>
          <w:tab w:val="right" w:leader="dot" w:pos="9350"/>
        </w:tabs>
        <w:rPr>
          <w:rFonts w:asciiTheme="minorHAnsi" w:eastAsiaTheme="minorEastAsia" w:hAnsiTheme="minorHAnsi"/>
          <w:bCs w:val="0"/>
          <w:sz w:val="24"/>
          <w:szCs w:val="24"/>
        </w:rPr>
      </w:pPr>
      <w:hyperlink w:anchor="_Toc190085462" w:history="1">
        <w:r w:rsidRPr="003C52A4">
          <w:rPr>
            <w:rStyle w:val="Hyperlink"/>
            <w:lang w:val="fr-CA"/>
          </w:rPr>
          <w:t>2.3</w:t>
        </w:r>
        <w:r>
          <w:rPr>
            <w:rFonts w:asciiTheme="minorHAnsi" w:eastAsiaTheme="minorEastAsia" w:hAnsiTheme="minorHAnsi"/>
            <w:bCs w:val="0"/>
            <w:sz w:val="24"/>
            <w:szCs w:val="24"/>
          </w:rPr>
          <w:tab/>
        </w:r>
        <w:r w:rsidRPr="003C52A4">
          <w:rPr>
            <w:rStyle w:val="Hyperlink"/>
            <w:lang w:val="fr-CA"/>
          </w:rPr>
          <w:t>Irrecevabilité pour cause de prescription de l’action</w:t>
        </w:r>
        <w:r>
          <w:rPr>
            <w:webHidden/>
          </w:rPr>
          <w:tab/>
        </w:r>
        <w:r>
          <w:rPr>
            <w:webHidden/>
          </w:rPr>
          <w:fldChar w:fldCharType="begin"/>
        </w:r>
        <w:r>
          <w:rPr>
            <w:webHidden/>
          </w:rPr>
          <w:instrText xml:space="preserve"> PAGEREF _Toc190085462 \h </w:instrText>
        </w:r>
        <w:r>
          <w:rPr>
            <w:webHidden/>
          </w:rPr>
        </w:r>
        <w:r>
          <w:rPr>
            <w:webHidden/>
          </w:rPr>
          <w:fldChar w:fldCharType="separate"/>
        </w:r>
        <w:r>
          <w:rPr>
            <w:webHidden/>
          </w:rPr>
          <w:t>4</w:t>
        </w:r>
        <w:r>
          <w:rPr>
            <w:webHidden/>
          </w:rPr>
          <w:fldChar w:fldCharType="end"/>
        </w:r>
      </w:hyperlink>
    </w:p>
    <w:p w14:paraId="050A7430" w14:textId="71158D4A" w:rsidR="003D25FE" w:rsidRDefault="003D25FE">
      <w:pPr>
        <w:pStyle w:val="TOC1"/>
        <w:tabs>
          <w:tab w:val="left" w:pos="480"/>
          <w:tab w:val="right" w:leader="dot" w:pos="9350"/>
        </w:tabs>
        <w:rPr>
          <w:rFonts w:asciiTheme="minorHAnsi" w:eastAsiaTheme="minorEastAsia" w:hAnsiTheme="minorHAnsi"/>
          <w:b w:val="0"/>
          <w:bCs w:val="0"/>
          <w:iCs w:val="0"/>
        </w:rPr>
      </w:pPr>
      <w:hyperlink w:anchor="_Toc190085463" w:history="1">
        <w:r w:rsidRPr="003C52A4">
          <w:rPr>
            <w:rStyle w:val="Hyperlink"/>
          </w:rPr>
          <w:t>3.</w:t>
        </w:r>
        <w:r>
          <w:rPr>
            <w:rFonts w:asciiTheme="minorHAnsi" w:eastAsiaTheme="minorEastAsia" w:hAnsiTheme="minorHAnsi"/>
            <w:b w:val="0"/>
            <w:bCs w:val="0"/>
            <w:iCs w:val="0"/>
          </w:rPr>
          <w:tab/>
        </w:r>
        <w:r w:rsidRPr="003C52A4">
          <w:rPr>
            <w:rStyle w:val="Hyperlink"/>
          </w:rPr>
          <w:t>DROIT BANCAIRE ET FINANCIER</w:t>
        </w:r>
        <w:r>
          <w:rPr>
            <w:webHidden/>
          </w:rPr>
          <w:tab/>
        </w:r>
        <w:r>
          <w:rPr>
            <w:webHidden/>
          </w:rPr>
          <w:fldChar w:fldCharType="begin"/>
        </w:r>
        <w:r>
          <w:rPr>
            <w:webHidden/>
          </w:rPr>
          <w:instrText xml:space="preserve"> PAGEREF _Toc190085463 \h </w:instrText>
        </w:r>
        <w:r>
          <w:rPr>
            <w:webHidden/>
          </w:rPr>
        </w:r>
        <w:r>
          <w:rPr>
            <w:webHidden/>
          </w:rPr>
          <w:fldChar w:fldCharType="separate"/>
        </w:r>
        <w:r>
          <w:rPr>
            <w:webHidden/>
          </w:rPr>
          <w:t>4</w:t>
        </w:r>
        <w:r>
          <w:rPr>
            <w:webHidden/>
          </w:rPr>
          <w:fldChar w:fldCharType="end"/>
        </w:r>
      </w:hyperlink>
    </w:p>
    <w:p w14:paraId="7D181054" w14:textId="7383D115" w:rsidR="003D25FE" w:rsidRDefault="003D25FE">
      <w:pPr>
        <w:pStyle w:val="TOC2"/>
        <w:tabs>
          <w:tab w:val="left" w:pos="720"/>
          <w:tab w:val="right" w:leader="dot" w:pos="9350"/>
        </w:tabs>
        <w:rPr>
          <w:rFonts w:asciiTheme="minorHAnsi" w:eastAsiaTheme="minorEastAsia" w:hAnsiTheme="minorHAnsi"/>
          <w:bCs w:val="0"/>
          <w:sz w:val="24"/>
          <w:szCs w:val="24"/>
        </w:rPr>
      </w:pPr>
      <w:hyperlink w:anchor="_Toc190085464" w:history="1">
        <w:r w:rsidRPr="003C52A4">
          <w:rPr>
            <w:rStyle w:val="Hyperlink"/>
          </w:rPr>
          <w:t>3.1</w:t>
        </w:r>
        <w:r>
          <w:rPr>
            <w:rFonts w:asciiTheme="minorHAnsi" w:eastAsiaTheme="minorEastAsia" w:hAnsiTheme="minorHAnsi"/>
            <w:bCs w:val="0"/>
            <w:sz w:val="24"/>
            <w:szCs w:val="24"/>
          </w:rPr>
          <w:tab/>
        </w:r>
        <w:r w:rsidRPr="003C52A4">
          <w:rPr>
            <w:rStyle w:val="Hyperlink"/>
          </w:rPr>
          <w:t>Instructions du premier ministre sur la gestion des investissements publics</w:t>
        </w:r>
        <w:r>
          <w:rPr>
            <w:webHidden/>
          </w:rPr>
          <w:tab/>
        </w:r>
        <w:r>
          <w:rPr>
            <w:webHidden/>
          </w:rPr>
          <w:fldChar w:fldCharType="begin"/>
        </w:r>
        <w:r>
          <w:rPr>
            <w:webHidden/>
          </w:rPr>
          <w:instrText xml:space="preserve"> PAGEREF _Toc190085464 \h </w:instrText>
        </w:r>
        <w:r>
          <w:rPr>
            <w:webHidden/>
          </w:rPr>
        </w:r>
        <w:r>
          <w:rPr>
            <w:webHidden/>
          </w:rPr>
          <w:fldChar w:fldCharType="separate"/>
        </w:r>
        <w:r>
          <w:rPr>
            <w:webHidden/>
          </w:rPr>
          <w:t>5</w:t>
        </w:r>
        <w:r>
          <w:rPr>
            <w:webHidden/>
          </w:rPr>
          <w:fldChar w:fldCharType="end"/>
        </w:r>
      </w:hyperlink>
    </w:p>
    <w:p w14:paraId="1F375DE1" w14:textId="4ECE9861" w:rsidR="003D25FE" w:rsidRDefault="003D25FE">
      <w:pPr>
        <w:pStyle w:val="TOC2"/>
        <w:tabs>
          <w:tab w:val="left" w:pos="960"/>
          <w:tab w:val="right" w:leader="dot" w:pos="9350"/>
        </w:tabs>
        <w:rPr>
          <w:rFonts w:asciiTheme="minorHAnsi" w:eastAsiaTheme="minorEastAsia" w:hAnsiTheme="minorHAnsi"/>
          <w:bCs w:val="0"/>
          <w:sz w:val="24"/>
          <w:szCs w:val="24"/>
        </w:rPr>
      </w:pPr>
      <w:hyperlink w:anchor="_Toc190085465" w:history="1">
        <w:r w:rsidRPr="003C52A4">
          <w:rPr>
            <w:rStyle w:val="Hyperlink"/>
          </w:rPr>
          <w:t>3.2</w:t>
        </w:r>
        <w:r>
          <w:rPr>
            <w:rFonts w:asciiTheme="minorHAnsi" w:eastAsiaTheme="minorEastAsia" w:hAnsiTheme="minorHAnsi"/>
            <w:bCs w:val="0"/>
            <w:sz w:val="24"/>
            <w:szCs w:val="24"/>
          </w:rPr>
          <w:tab/>
        </w:r>
        <w:r w:rsidRPr="003C52A4">
          <w:rPr>
            <w:rStyle w:val="Hyperlink"/>
          </w:rPr>
          <w:t>Plafonnement des dépenses publiques  par la loi de finances 2025</w:t>
        </w:r>
        <w:r>
          <w:rPr>
            <w:webHidden/>
          </w:rPr>
          <w:tab/>
        </w:r>
        <w:r>
          <w:rPr>
            <w:webHidden/>
          </w:rPr>
          <w:fldChar w:fldCharType="begin"/>
        </w:r>
        <w:r>
          <w:rPr>
            <w:webHidden/>
          </w:rPr>
          <w:instrText xml:space="preserve"> PAGEREF _Toc190085465 \h </w:instrText>
        </w:r>
        <w:r>
          <w:rPr>
            <w:webHidden/>
          </w:rPr>
        </w:r>
        <w:r>
          <w:rPr>
            <w:webHidden/>
          </w:rPr>
          <w:fldChar w:fldCharType="separate"/>
        </w:r>
        <w:r>
          <w:rPr>
            <w:webHidden/>
          </w:rPr>
          <w:t>5</w:t>
        </w:r>
        <w:r>
          <w:rPr>
            <w:webHidden/>
          </w:rPr>
          <w:fldChar w:fldCharType="end"/>
        </w:r>
      </w:hyperlink>
    </w:p>
    <w:p w14:paraId="2A1941DA" w14:textId="1E8406F9" w:rsidR="003D25FE" w:rsidRDefault="003D25FE">
      <w:pPr>
        <w:pStyle w:val="TOC2"/>
        <w:tabs>
          <w:tab w:val="left" w:pos="960"/>
          <w:tab w:val="right" w:leader="dot" w:pos="9350"/>
        </w:tabs>
        <w:rPr>
          <w:rFonts w:asciiTheme="minorHAnsi" w:eastAsiaTheme="minorEastAsia" w:hAnsiTheme="minorHAnsi"/>
          <w:bCs w:val="0"/>
          <w:sz w:val="24"/>
          <w:szCs w:val="24"/>
        </w:rPr>
      </w:pPr>
      <w:hyperlink w:anchor="_Toc190085466" w:history="1">
        <w:r w:rsidRPr="003C52A4">
          <w:rPr>
            <w:rStyle w:val="Hyperlink"/>
          </w:rPr>
          <w:t>3.3</w:t>
        </w:r>
        <w:r>
          <w:rPr>
            <w:rFonts w:asciiTheme="minorHAnsi" w:eastAsiaTheme="minorEastAsia" w:hAnsiTheme="minorHAnsi"/>
            <w:bCs w:val="0"/>
            <w:sz w:val="24"/>
            <w:szCs w:val="24"/>
          </w:rPr>
          <w:tab/>
        </w:r>
        <w:r w:rsidRPr="003C52A4">
          <w:rPr>
            <w:rStyle w:val="Hyperlink"/>
          </w:rPr>
          <w:t>Signature de la convention de financement du projet de construction de la cité administrative de Koloma</w:t>
        </w:r>
        <w:r>
          <w:rPr>
            <w:webHidden/>
          </w:rPr>
          <w:tab/>
        </w:r>
        <w:r>
          <w:rPr>
            <w:webHidden/>
          </w:rPr>
          <w:fldChar w:fldCharType="begin"/>
        </w:r>
        <w:r>
          <w:rPr>
            <w:webHidden/>
          </w:rPr>
          <w:instrText xml:space="preserve"> PAGEREF _Toc190085466 \h </w:instrText>
        </w:r>
        <w:r>
          <w:rPr>
            <w:webHidden/>
          </w:rPr>
        </w:r>
        <w:r>
          <w:rPr>
            <w:webHidden/>
          </w:rPr>
          <w:fldChar w:fldCharType="separate"/>
        </w:r>
        <w:r>
          <w:rPr>
            <w:webHidden/>
          </w:rPr>
          <w:t>5</w:t>
        </w:r>
        <w:r>
          <w:rPr>
            <w:webHidden/>
          </w:rPr>
          <w:fldChar w:fldCharType="end"/>
        </w:r>
      </w:hyperlink>
    </w:p>
    <w:p w14:paraId="26001C1E" w14:textId="064E811E" w:rsidR="003D25FE" w:rsidRDefault="003D25FE">
      <w:pPr>
        <w:pStyle w:val="TOC1"/>
        <w:tabs>
          <w:tab w:val="left" w:pos="480"/>
          <w:tab w:val="right" w:leader="dot" w:pos="9350"/>
        </w:tabs>
        <w:rPr>
          <w:rFonts w:asciiTheme="minorHAnsi" w:eastAsiaTheme="minorEastAsia" w:hAnsiTheme="minorHAnsi"/>
          <w:b w:val="0"/>
          <w:bCs w:val="0"/>
          <w:iCs w:val="0"/>
        </w:rPr>
      </w:pPr>
      <w:hyperlink w:anchor="_Toc190085467" w:history="1">
        <w:r w:rsidRPr="003C52A4">
          <w:rPr>
            <w:rStyle w:val="Hyperlink"/>
          </w:rPr>
          <w:t>4.</w:t>
        </w:r>
        <w:r>
          <w:rPr>
            <w:rFonts w:asciiTheme="minorHAnsi" w:eastAsiaTheme="minorEastAsia" w:hAnsiTheme="minorHAnsi"/>
            <w:b w:val="0"/>
            <w:bCs w:val="0"/>
            <w:iCs w:val="0"/>
          </w:rPr>
          <w:tab/>
        </w:r>
        <w:r w:rsidRPr="003C52A4">
          <w:rPr>
            <w:rStyle w:val="Hyperlink"/>
          </w:rPr>
          <w:t>DROIT DU TRAVAIL</w:t>
        </w:r>
        <w:r>
          <w:rPr>
            <w:webHidden/>
          </w:rPr>
          <w:tab/>
        </w:r>
        <w:r>
          <w:rPr>
            <w:webHidden/>
          </w:rPr>
          <w:fldChar w:fldCharType="begin"/>
        </w:r>
        <w:r>
          <w:rPr>
            <w:webHidden/>
          </w:rPr>
          <w:instrText xml:space="preserve"> PAGEREF _Toc190085467 \h </w:instrText>
        </w:r>
        <w:r>
          <w:rPr>
            <w:webHidden/>
          </w:rPr>
        </w:r>
        <w:r>
          <w:rPr>
            <w:webHidden/>
          </w:rPr>
          <w:fldChar w:fldCharType="separate"/>
        </w:r>
        <w:r>
          <w:rPr>
            <w:webHidden/>
          </w:rPr>
          <w:t>5</w:t>
        </w:r>
        <w:r>
          <w:rPr>
            <w:webHidden/>
          </w:rPr>
          <w:fldChar w:fldCharType="end"/>
        </w:r>
      </w:hyperlink>
    </w:p>
    <w:p w14:paraId="6D436F28" w14:textId="17768C87" w:rsidR="003D25FE" w:rsidRDefault="003D25FE">
      <w:pPr>
        <w:pStyle w:val="TOC2"/>
        <w:tabs>
          <w:tab w:val="left" w:pos="960"/>
          <w:tab w:val="right" w:leader="dot" w:pos="9350"/>
        </w:tabs>
        <w:rPr>
          <w:rFonts w:asciiTheme="minorHAnsi" w:eastAsiaTheme="minorEastAsia" w:hAnsiTheme="minorHAnsi"/>
          <w:bCs w:val="0"/>
          <w:sz w:val="24"/>
          <w:szCs w:val="24"/>
        </w:rPr>
      </w:pPr>
      <w:hyperlink w:anchor="_Toc190085468" w:history="1">
        <w:r w:rsidRPr="003C52A4">
          <w:rPr>
            <w:rStyle w:val="Hyperlink"/>
          </w:rPr>
          <w:t>4.1</w:t>
        </w:r>
        <w:r>
          <w:rPr>
            <w:rFonts w:asciiTheme="minorHAnsi" w:eastAsiaTheme="minorEastAsia" w:hAnsiTheme="minorHAnsi"/>
            <w:bCs w:val="0"/>
            <w:sz w:val="24"/>
            <w:szCs w:val="24"/>
          </w:rPr>
          <w:tab/>
        </w:r>
        <w:r w:rsidRPr="003C52A4">
          <w:rPr>
            <w:rStyle w:val="Hyperlink"/>
          </w:rPr>
          <w:t>Présentation des travaux de révision du Code du travail</w:t>
        </w:r>
        <w:r>
          <w:rPr>
            <w:webHidden/>
          </w:rPr>
          <w:tab/>
        </w:r>
        <w:r>
          <w:rPr>
            <w:webHidden/>
          </w:rPr>
          <w:fldChar w:fldCharType="begin"/>
        </w:r>
        <w:r>
          <w:rPr>
            <w:webHidden/>
          </w:rPr>
          <w:instrText xml:space="preserve"> PAGEREF _Toc190085468 \h </w:instrText>
        </w:r>
        <w:r>
          <w:rPr>
            <w:webHidden/>
          </w:rPr>
        </w:r>
        <w:r>
          <w:rPr>
            <w:webHidden/>
          </w:rPr>
          <w:fldChar w:fldCharType="separate"/>
        </w:r>
        <w:r>
          <w:rPr>
            <w:webHidden/>
          </w:rPr>
          <w:t>6</w:t>
        </w:r>
        <w:r>
          <w:rPr>
            <w:webHidden/>
          </w:rPr>
          <w:fldChar w:fldCharType="end"/>
        </w:r>
      </w:hyperlink>
    </w:p>
    <w:p w14:paraId="4F0C3D94" w14:textId="2120C653" w:rsidR="003D25FE" w:rsidRDefault="003D25FE">
      <w:pPr>
        <w:pStyle w:val="TOC2"/>
        <w:tabs>
          <w:tab w:val="left" w:pos="960"/>
          <w:tab w:val="right" w:leader="dot" w:pos="9350"/>
        </w:tabs>
        <w:rPr>
          <w:rFonts w:asciiTheme="minorHAnsi" w:eastAsiaTheme="minorEastAsia" w:hAnsiTheme="minorHAnsi"/>
          <w:bCs w:val="0"/>
          <w:sz w:val="24"/>
          <w:szCs w:val="24"/>
        </w:rPr>
      </w:pPr>
      <w:hyperlink w:anchor="_Toc190085469" w:history="1">
        <w:r w:rsidRPr="003C52A4">
          <w:rPr>
            <w:rStyle w:val="Hyperlink"/>
          </w:rPr>
          <w:t>4.2</w:t>
        </w:r>
        <w:r>
          <w:rPr>
            <w:rFonts w:asciiTheme="minorHAnsi" w:eastAsiaTheme="minorEastAsia" w:hAnsiTheme="minorHAnsi"/>
            <w:bCs w:val="0"/>
            <w:sz w:val="24"/>
            <w:szCs w:val="24"/>
          </w:rPr>
          <w:tab/>
        </w:r>
        <w:r w:rsidRPr="003C52A4">
          <w:rPr>
            <w:rStyle w:val="Hyperlink"/>
          </w:rPr>
          <w:t>Présentation du nouveau cadre juridique des concours et examens professionnels</w:t>
        </w:r>
        <w:r>
          <w:rPr>
            <w:webHidden/>
          </w:rPr>
          <w:tab/>
        </w:r>
        <w:r>
          <w:rPr>
            <w:webHidden/>
          </w:rPr>
          <w:fldChar w:fldCharType="begin"/>
        </w:r>
        <w:r>
          <w:rPr>
            <w:webHidden/>
          </w:rPr>
          <w:instrText xml:space="preserve"> PAGEREF _Toc190085469 \h </w:instrText>
        </w:r>
        <w:r>
          <w:rPr>
            <w:webHidden/>
          </w:rPr>
        </w:r>
        <w:r>
          <w:rPr>
            <w:webHidden/>
          </w:rPr>
          <w:fldChar w:fldCharType="separate"/>
        </w:r>
        <w:r>
          <w:rPr>
            <w:webHidden/>
          </w:rPr>
          <w:t>6</w:t>
        </w:r>
        <w:r>
          <w:rPr>
            <w:webHidden/>
          </w:rPr>
          <w:fldChar w:fldCharType="end"/>
        </w:r>
      </w:hyperlink>
    </w:p>
    <w:p w14:paraId="23A32DE9" w14:textId="7737C2FE" w:rsidR="003D25FE" w:rsidRDefault="003D25FE">
      <w:pPr>
        <w:pStyle w:val="TOC2"/>
        <w:tabs>
          <w:tab w:val="left" w:pos="960"/>
          <w:tab w:val="right" w:leader="dot" w:pos="9350"/>
        </w:tabs>
        <w:rPr>
          <w:rFonts w:asciiTheme="minorHAnsi" w:eastAsiaTheme="minorEastAsia" w:hAnsiTheme="minorHAnsi"/>
          <w:bCs w:val="0"/>
          <w:sz w:val="24"/>
          <w:szCs w:val="24"/>
        </w:rPr>
      </w:pPr>
      <w:hyperlink w:anchor="_Toc190085470" w:history="1">
        <w:r w:rsidRPr="003C52A4">
          <w:rPr>
            <w:rStyle w:val="Hyperlink"/>
          </w:rPr>
          <w:t>4.3</w:t>
        </w:r>
        <w:r>
          <w:rPr>
            <w:rFonts w:asciiTheme="minorHAnsi" w:eastAsiaTheme="minorEastAsia" w:hAnsiTheme="minorHAnsi"/>
            <w:bCs w:val="0"/>
            <w:sz w:val="24"/>
            <w:szCs w:val="24"/>
          </w:rPr>
          <w:tab/>
        </w:r>
        <w:r w:rsidRPr="003C52A4">
          <w:rPr>
            <w:rStyle w:val="Hyperlink"/>
          </w:rPr>
          <w:t>Adoption du traité révisé de la CIPRES</w:t>
        </w:r>
        <w:r>
          <w:rPr>
            <w:webHidden/>
          </w:rPr>
          <w:tab/>
        </w:r>
        <w:r>
          <w:rPr>
            <w:webHidden/>
          </w:rPr>
          <w:fldChar w:fldCharType="begin"/>
        </w:r>
        <w:r>
          <w:rPr>
            <w:webHidden/>
          </w:rPr>
          <w:instrText xml:space="preserve"> PAGEREF _Toc190085470 \h </w:instrText>
        </w:r>
        <w:r>
          <w:rPr>
            <w:webHidden/>
          </w:rPr>
        </w:r>
        <w:r>
          <w:rPr>
            <w:webHidden/>
          </w:rPr>
          <w:fldChar w:fldCharType="separate"/>
        </w:r>
        <w:r>
          <w:rPr>
            <w:webHidden/>
          </w:rPr>
          <w:t>6</w:t>
        </w:r>
        <w:r>
          <w:rPr>
            <w:webHidden/>
          </w:rPr>
          <w:fldChar w:fldCharType="end"/>
        </w:r>
      </w:hyperlink>
    </w:p>
    <w:p w14:paraId="462500A3" w14:textId="3E8756EE" w:rsidR="003D25FE" w:rsidRDefault="003D25FE">
      <w:pPr>
        <w:pStyle w:val="TOC1"/>
        <w:tabs>
          <w:tab w:val="left" w:pos="480"/>
          <w:tab w:val="right" w:leader="dot" w:pos="9350"/>
        </w:tabs>
        <w:rPr>
          <w:rFonts w:asciiTheme="minorHAnsi" w:eastAsiaTheme="minorEastAsia" w:hAnsiTheme="minorHAnsi"/>
          <w:b w:val="0"/>
          <w:bCs w:val="0"/>
          <w:iCs w:val="0"/>
        </w:rPr>
      </w:pPr>
      <w:hyperlink w:anchor="_Toc190085471" w:history="1">
        <w:r w:rsidRPr="003C52A4">
          <w:rPr>
            <w:rStyle w:val="Hyperlink"/>
          </w:rPr>
          <w:t>5.</w:t>
        </w:r>
        <w:r>
          <w:rPr>
            <w:rFonts w:asciiTheme="minorHAnsi" w:eastAsiaTheme="minorEastAsia" w:hAnsiTheme="minorHAnsi"/>
            <w:b w:val="0"/>
            <w:bCs w:val="0"/>
            <w:iCs w:val="0"/>
          </w:rPr>
          <w:tab/>
        </w:r>
        <w:r w:rsidRPr="003C52A4">
          <w:rPr>
            <w:rStyle w:val="Hyperlink"/>
          </w:rPr>
          <w:t>DROIT DES CONTRATS, PPP ET MARCHES PUBLICS</w:t>
        </w:r>
        <w:r>
          <w:rPr>
            <w:webHidden/>
          </w:rPr>
          <w:tab/>
        </w:r>
        <w:r>
          <w:rPr>
            <w:webHidden/>
          </w:rPr>
          <w:fldChar w:fldCharType="begin"/>
        </w:r>
        <w:r>
          <w:rPr>
            <w:webHidden/>
          </w:rPr>
          <w:instrText xml:space="preserve"> PAGEREF _Toc190085471 \h </w:instrText>
        </w:r>
        <w:r>
          <w:rPr>
            <w:webHidden/>
          </w:rPr>
        </w:r>
        <w:r>
          <w:rPr>
            <w:webHidden/>
          </w:rPr>
          <w:fldChar w:fldCharType="separate"/>
        </w:r>
        <w:r>
          <w:rPr>
            <w:webHidden/>
          </w:rPr>
          <w:t>6</w:t>
        </w:r>
        <w:r>
          <w:rPr>
            <w:webHidden/>
          </w:rPr>
          <w:fldChar w:fldCharType="end"/>
        </w:r>
      </w:hyperlink>
    </w:p>
    <w:p w14:paraId="14964183" w14:textId="3E34C170" w:rsidR="003D25FE" w:rsidRDefault="003D25FE">
      <w:pPr>
        <w:pStyle w:val="TOC2"/>
        <w:tabs>
          <w:tab w:val="left" w:pos="960"/>
          <w:tab w:val="right" w:leader="dot" w:pos="9350"/>
        </w:tabs>
        <w:rPr>
          <w:rFonts w:asciiTheme="minorHAnsi" w:eastAsiaTheme="minorEastAsia" w:hAnsiTheme="minorHAnsi"/>
          <w:bCs w:val="0"/>
          <w:sz w:val="24"/>
          <w:szCs w:val="24"/>
        </w:rPr>
      </w:pPr>
      <w:hyperlink w:anchor="_Toc190085472" w:history="1">
        <w:r w:rsidRPr="003C52A4">
          <w:rPr>
            <w:rStyle w:val="Hyperlink"/>
          </w:rPr>
          <w:t>5.1</w:t>
        </w:r>
        <w:r>
          <w:rPr>
            <w:rFonts w:asciiTheme="minorHAnsi" w:eastAsiaTheme="minorEastAsia" w:hAnsiTheme="minorHAnsi"/>
            <w:bCs w:val="0"/>
            <w:sz w:val="24"/>
            <w:szCs w:val="24"/>
          </w:rPr>
          <w:tab/>
        </w:r>
        <w:r w:rsidRPr="003C52A4">
          <w:rPr>
            <w:rStyle w:val="Hyperlink"/>
            <w:lang w:val="fr-CA"/>
          </w:rPr>
          <w:t>Validation du document de la stratégie nationale de formation des acteurs de la commande publique</w:t>
        </w:r>
        <w:r>
          <w:rPr>
            <w:webHidden/>
          </w:rPr>
          <w:tab/>
        </w:r>
        <w:r>
          <w:rPr>
            <w:webHidden/>
          </w:rPr>
          <w:fldChar w:fldCharType="begin"/>
        </w:r>
        <w:r>
          <w:rPr>
            <w:webHidden/>
          </w:rPr>
          <w:instrText xml:space="preserve"> PAGEREF _Toc190085472 \h </w:instrText>
        </w:r>
        <w:r>
          <w:rPr>
            <w:webHidden/>
          </w:rPr>
        </w:r>
        <w:r>
          <w:rPr>
            <w:webHidden/>
          </w:rPr>
          <w:fldChar w:fldCharType="separate"/>
        </w:r>
        <w:r>
          <w:rPr>
            <w:webHidden/>
          </w:rPr>
          <w:t>7</w:t>
        </w:r>
        <w:r>
          <w:rPr>
            <w:webHidden/>
          </w:rPr>
          <w:fldChar w:fldCharType="end"/>
        </w:r>
      </w:hyperlink>
    </w:p>
    <w:p w14:paraId="635BFF53" w14:textId="7B3D14D8" w:rsidR="003D25FE" w:rsidRDefault="003D25FE">
      <w:pPr>
        <w:pStyle w:val="TOC2"/>
        <w:tabs>
          <w:tab w:val="left" w:pos="960"/>
          <w:tab w:val="right" w:leader="dot" w:pos="9350"/>
        </w:tabs>
        <w:rPr>
          <w:rFonts w:asciiTheme="minorHAnsi" w:eastAsiaTheme="minorEastAsia" w:hAnsiTheme="minorHAnsi"/>
          <w:bCs w:val="0"/>
          <w:sz w:val="24"/>
          <w:szCs w:val="24"/>
        </w:rPr>
      </w:pPr>
      <w:hyperlink w:anchor="_Toc190085473" w:history="1">
        <w:r w:rsidRPr="003C52A4">
          <w:rPr>
            <w:rStyle w:val="Hyperlink"/>
          </w:rPr>
          <w:t>5.2</w:t>
        </w:r>
        <w:r>
          <w:rPr>
            <w:rFonts w:asciiTheme="minorHAnsi" w:eastAsiaTheme="minorEastAsia" w:hAnsiTheme="minorHAnsi"/>
            <w:bCs w:val="0"/>
            <w:sz w:val="24"/>
            <w:szCs w:val="24"/>
          </w:rPr>
          <w:tab/>
        </w:r>
        <w:r w:rsidRPr="003C52A4">
          <w:rPr>
            <w:rStyle w:val="Hyperlink"/>
          </w:rPr>
          <w:t>Annulation d’une procédure de passation de marché public pour violation de la loi</w:t>
        </w:r>
        <w:r>
          <w:rPr>
            <w:webHidden/>
          </w:rPr>
          <w:tab/>
        </w:r>
        <w:r>
          <w:rPr>
            <w:webHidden/>
          </w:rPr>
          <w:fldChar w:fldCharType="begin"/>
        </w:r>
        <w:r>
          <w:rPr>
            <w:webHidden/>
          </w:rPr>
          <w:instrText xml:space="preserve"> PAGEREF _Toc190085473 \h </w:instrText>
        </w:r>
        <w:r>
          <w:rPr>
            <w:webHidden/>
          </w:rPr>
        </w:r>
        <w:r>
          <w:rPr>
            <w:webHidden/>
          </w:rPr>
          <w:fldChar w:fldCharType="separate"/>
        </w:r>
        <w:r>
          <w:rPr>
            <w:webHidden/>
          </w:rPr>
          <w:t>7</w:t>
        </w:r>
        <w:r>
          <w:rPr>
            <w:webHidden/>
          </w:rPr>
          <w:fldChar w:fldCharType="end"/>
        </w:r>
      </w:hyperlink>
    </w:p>
    <w:p w14:paraId="5B5F10F5" w14:textId="234F64BB" w:rsidR="003D25FE" w:rsidRDefault="003D25FE">
      <w:pPr>
        <w:pStyle w:val="TOC2"/>
        <w:tabs>
          <w:tab w:val="left" w:pos="960"/>
          <w:tab w:val="right" w:leader="dot" w:pos="9350"/>
        </w:tabs>
        <w:rPr>
          <w:rFonts w:asciiTheme="minorHAnsi" w:eastAsiaTheme="minorEastAsia" w:hAnsiTheme="minorHAnsi"/>
          <w:bCs w:val="0"/>
          <w:sz w:val="24"/>
          <w:szCs w:val="24"/>
        </w:rPr>
      </w:pPr>
      <w:hyperlink w:anchor="_Toc190085474" w:history="1">
        <w:r w:rsidRPr="003C52A4">
          <w:rPr>
            <w:rStyle w:val="Hyperlink"/>
          </w:rPr>
          <w:t>5.3</w:t>
        </w:r>
        <w:r>
          <w:rPr>
            <w:rFonts w:asciiTheme="minorHAnsi" w:eastAsiaTheme="minorEastAsia" w:hAnsiTheme="minorHAnsi"/>
            <w:bCs w:val="0"/>
            <w:sz w:val="24"/>
            <w:szCs w:val="24"/>
          </w:rPr>
          <w:tab/>
        </w:r>
        <w:r w:rsidRPr="003C52A4">
          <w:rPr>
            <w:rStyle w:val="Hyperlink"/>
          </w:rPr>
          <w:t>Le champ de compétence du juge des référés sur le contentieux du bail professionnel</w:t>
        </w:r>
        <w:r>
          <w:rPr>
            <w:webHidden/>
          </w:rPr>
          <w:tab/>
        </w:r>
        <w:r>
          <w:rPr>
            <w:webHidden/>
          </w:rPr>
          <w:fldChar w:fldCharType="begin"/>
        </w:r>
        <w:r>
          <w:rPr>
            <w:webHidden/>
          </w:rPr>
          <w:instrText xml:space="preserve"> PAGEREF _Toc190085474 \h </w:instrText>
        </w:r>
        <w:r>
          <w:rPr>
            <w:webHidden/>
          </w:rPr>
        </w:r>
        <w:r>
          <w:rPr>
            <w:webHidden/>
          </w:rPr>
          <w:fldChar w:fldCharType="separate"/>
        </w:r>
        <w:r>
          <w:rPr>
            <w:webHidden/>
          </w:rPr>
          <w:t>7</w:t>
        </w:r>
        <w:r>
          <w:rPr>
            <w:webHidden/>
          </w:rPr>
          <w:fldChar w:fldCharType="end"/>
        </w:r>
      </w:hyperlink>
    </w:p>
    <w:p w14:paraId="691A5FDE" w14:textId="47C25E07" w:rsidR="003D25FE" w:rsidRDefault="003D25FE">
      <w:pPr>
        <w:pStyle w:val="TOC1"/>
        <w:tabs>
          <w:tab w:val="left" w:pos="480"/>
          <w:tab w:val="right" w:leader="dot" w:pos="9350"/>
        </w:tabs>
        <w:rPr>
          <w:rFonts w:asciiTheme="minorHAnsi" w:eastAsiaTheme="minorEastAsia" w:hAnsiTheme="minorHAnsi"/>
          <w:b w:val="0"/>
          <w:bCs w:val="0"/>
          <w:iCs w:val="0"/>
        </w:rPr>
      </w:pPr>
      <w:hyperlink w:anchor="_Toc190085475" w:history="1">
        <w:r w:rsidRPr="003C52A4">
          <w:rPr>
            <w:rStyle w:val="Hyperlink"/>
          </w:rPr>
          <w:t>6.</w:t>
        </w:r>
        <w:r>
          <w:rPr>
            <w:rFonts w:asciiTheme="minorHAnsi" w:eastAsiaTheme="minorEastAsia" w:hAnsiTheme="minorHAnsi"/>
            <w:b w:val="0"/>
            <w:bCs w:val="0"/>
            <w:iCs w:val="0"/>
          </w:rPr>
          <w:tab/>
        </w:r>
        <w:r w:rsidRPr="003C52A4">
          <w:rPr>
            <w:rStyle w:val="Hyperlink"/>
          </w:rPr>
          <w:t>DROIT DES TELECOMMUNICATIONS ET DES FINTECHS</w:t>
        </w:r>
        <w:r>
          <w:rPr>
            <w:webHidden/>
          </w:rPr>
          <w:tab/>
        </w:r>
        <w:r>
          <w:rPr>
            <w:webHidden/>
          </w:rPr>
          <w:fldChar w:fldCharType="begin"/>
        </w:r>
        <w:r>
          <w:rPr>
            <w:webHidden/>
          </w:rPr>
          <w:instrText xml:space="preserve"> PAGEREF _Toc190085475 \h </w:instrText>
        </w:r>
        <w:r>
          <w:rPr>
            <w:webHidden/>
          </w:rPr>
        </w:r>
        <w:r>
          <w:rPr>
            <w:webHidden/>
          </w:rPr>
          <w:fldChar w:fldCharType="separate"/>
        </w:r>
        <w:r>
          <w:rPr>
            <w:webHidden/>
          </w:rPr>
          <w:t>7</w:t>
        </w:r>
        <w:r>
          <w:rPr>
            <w:webHidden/>
          </w:rPr>
          <w:fldChar w:fldCharType="end"/>
        </w:r>
      </w:hyperlink>
    </w:p>
    <w:p w14:paraId="33DCB1D3" w14:textId="27E143A9" w:rsidR="003D25FE" w:rsidRDefault="003D25FE">
      <w:pPr>
        <w:pStyle w:val="TOC2"/>
        <w:tabs>
          <w:tab w:val="left" w:pos="960"/>
          <w:tab w:val="right" w:leader="dot" w:pos="9350"/>
        </w:tabs>
        <w:rPr>
          <w:rFonts w:asciiTheme="minorHAnsi" w:eastAsiaTheme="minorEastAsia" w:hAnsiTheme="minorHAnsi"/>
          <w:bCs w:val="0"/>
          <w:sz w:val="24"/>
          <w:szCs w:val="24"/>
        </w:rPr>
      </w:pPr>
      <w:hyperlink w:anchor="_Toc190085476" w:history="1">
        <w:r w:rsidRPr="003C52A4">
          <w:rPr>
            <w:rStyle w:val="Hyperlink"/>
            <w:lang w:val="fr-CA"/>
          </w:rPr>
          <w:t>6.1</w:t>
        </w:r>
        <w:r>
          <w:rPr>
            <w:rFonts w:asciiTheme="minorHAnsi" w:eastAsiaTheme="minorEastAsia" w:hAnsiTheme="minorHAnsi"/>
            <w:bCs w:val="0"/>
            <w:sz w:val="24"/>
            <w:szCs w:val="24"/>
          </w:rPr>
          <w:tab/>
        </w:r>
        <w:r w:rsidRPr="003C52A4">
          <w:rPr>
            <w:rStyle w:val="Hyperlink"/>
            <w:lang w:val="fr-CA"/>
          </w:rPr>
          <w:t>Suspension d’un média en ligne pour trouble à l’ordre public</w:t>
        </w:r>
        <w:r>
          <w:rPr>
            <w:webHidden/>
          </w:rPr>
          <w:tab/>
        </w:r>
        <w:r>
          <w:rPr>
            <w:webHidden/>
          </w:rPr>
          <w:fldChar w:fldCharType="begin"/>
        </w:r>
        <w:r>
          <w:rPr>
            <w:webHidden/>
          </w:rPr>
          <w:instrText xml:space="preserve"> PAGEREF _Toc190085476 \h </w:instrText>
        </w:r>
        <w:r>
          <w:rPr>
            <w:webHidden/>
          </w:rPr>
        </w:r>
        <w:r>
          <w:rPr>
            <w:webHidden/>
          </w:rPr>
          <w:fldChar w:fldCharType="separate"/>
        </w:r>
        <w:r>
          <w:rPr>
            <w:webHidden/>
          </w:rPr>
          <w:t>8</w:t>
        </w:r>
        <w:r>
          <w:rPr>
            <w:webHidden/>
          </w:rPr>
          <w:fldChar w:fldCharType="end"/>
        </w:r>
      </w:hyperlink>
    </w:p>
    <w:p w14:paraId="349EADE4" w14:textId="6E0FD0E0" w:rsidR="003D25FE" w:rsidRDefault="003D25FE">
      <w:pPr>
        <w:pStyle w:val="TOC2"/>
        <w:tabs>
          <w:tab w:val="left" w:pos="960"/>
          <w:tab w:val="right" w:leader="dot" w:pos="9350"/>
        </w:tabs>
        <w:rPr>
          <w:rFonts w:asciiTheme="minorHAnsi" w:eastAsiaTheme="minorEastAsia" w:hAnsiTheme="minorHAnsi"/>
          <w:bCs w:val="0"/>
          <w:sz w:val="24"/>
          <w:szCs w:val="24"/>
        </w:rPr>
      </w:pPr>
      <w:hyperlink w:anchor="_Toc190085477" w:history="1">
        <w:r w:rsidRPr="003C52A4">
          <w:rPr>
            <w:rStyle w:val="Hyperlink"/>
            <w:lang w:val="fr-CA"/>
          </w:rPr>
          <w:t>6.2</w:t>
        </w:r>
        <w:r>
          <w:rPr>
            <w:rFonts w:asciiTheme="minorHAnsi" w:eastAsiaTheme="minorEastAsia" w:hAnsiTheme="minorHAnsi"/>
            <w:bCs w:val="0"/>
            <w:sz w:val="24"/>
            <w:szCs w:val="24"/>
          </w:rPr>
          <w:tab/>
        </w:r>
        <w:r w:rsidRPr="003C52A4">
          <w:rPr>
            <w:rStyle w:val="Hyperlink"/>
            <w:lang w:val="fr-CA"/>
          </w:rPr>
          <w:t>Lancement de la plateforme de monnaie électronique KULU</w:t>
        </w:r>
        <w:r>
          <w:rPr>
            <w:webHidden/>
          </w:rPr>
          <w:tab/>
        </w:r>
        <w:r>
          <w:rPr>
            <w:webHidden/>
          </w:rPr>
          <w:fldChar w:fldCharType="begin"/>
        </w:r>
        <w:r>
          <w:rPr>
            <w:webHidden/>
          </w:rPr>
          <w:instrText xml:space="preserve"> PAGEREF _Toc190085477 \h </w:instrText>
        </w:r>
        <w:r>
          <w:rPr>
            <w:webHidden/>
          </w:rPr>
        </w:r>
        <w:r>
          <w:rPr>
            <w:webHidden/>
          </w:rPr>
          <w:fldChar w:fldCharType="separate"/>
        </w:r>
        <w:r>
          <w:rPr>
            <w:webHidden/>
          </w:rPr>
          <w:t>8</w:t>
        </w:r>
        <w:r>
          <w:rPr>
            <w:webHidden/>
          </w:rPr>
          <w:fldChar w:fldCharType="end"/>
        </w:r>
      </w:hyperlink>
    </w:p>
    <w:p w14:paraId="4681CD2F" w14:textId="0075E921" w:rsidR="003D25FE" w:rsidRDefault="003D25FE">
      <w:pPr>
        <w:pStyle w:val="TOC2"/>
        <w:tabs>
          <w:tab w:val="left" w:pos="960"/>
          <w:tab w:val="right" w:leader="dot" w:pos="9350"/>
        </w:tabs>
        <w:rPr>
          <w:rFonts w:asciiTheme="minorHAnsi" w:eastAsiaTheme="minorEastAsia" w:hAnsiTheme="minorHAnsi"/>
          <w:bCs w:val="0"/>
          <w:sz w:val="24"/>
          <w:szCs w:val="24"/>
        </w:rPr>
      </w:pPr>
      <w:hyperlink w:anchor="_Toc190085478" w:history="1">
        <w:r w:rsidRPr="003C52A4">
          <w:rPr>
            <w:rStyle w:val="Hyperlink"/>
            <w:lang w:val="fr-CA"/>
          </w:rPr>
          <w:t>6.3</w:t>
        </w:r>
        <w:r>
          <w:rPr>
            <w:rFonts w:asciiTheme="minorHAnsi" w:eastAsiaTheme="minorEastAsia" w:hAnsiTheme="minorHAnsi"/>
            <w:bCs w:val="0"/>
            <w:sz w:val="24"/>
            <w:szCs w:val="24"/>
          </w:rPr>
          <w:tab/>
        </w:r>
        <w:r w:rsidRPr="003C52A4">
          <w:rPr>
            <w:rStyle w:val="Hyperlink"/>
            <w:lang w:val="fr-CA"/>
          </w:rPr>
          <w:t>Validation d’un nouveau projet de loi dans le secteur des arts</w:t>
        </w:r>
        <w:r>
          <w:rPr>
            <w:webHidden/>
          </w:rPr>
          <w:tab/>
        </w:r>
        <w:r>
          <w:rPr>
            <w:webHidden/>
          </w:rPr>
          <w:fldChar w:fldCharType="begin"/>
        </w:r>
        <w:r>
          <w:rPr>
            <w:webHidden/>
          </w:rPr>
          <w:instrText xml:space="preserve"> PAGEREF _Toc190085478 \h </w:instrText>
        </w:r>
        <w:r>
          <w:rPr>
            <w:webHidden/>
          </w:rPr>
        </w:r>
        <w:r>
          <w:rPr>
            <w:webHidden/>
          </w:rPr>
          <w:fldChar w:fldCharType="separate"/>
        </w:r>
        <w:r>
          <w:rPr>
            <w:webHidden/>
          </w:rPr>
          <w:t>8</w:t>
        </w:r>
        <w:r>
          <w:rPr>
            <w:webHidden/>
          </w:rPr>
          <w:fldChar w:fldCharType="end"/>
        </w:r>
      </w:hyperlink>
    </w:p>
    <w:p w14:paraId="7CA9573E" w14:textId="6C6E7839" w:rsidR="003D25FE" w:rsidRDefault="003D25FE">
      <w:pPr>
        <w:pStyle w:val="TOC1"/>
        <w:tabs>
          <w:tab w:val="left" w:pos="480"/>
          <w:tab w:val="right" w:leader="dot" w:pos="9350"/>
        </w:tabs>
        <w:rPr>
          <w:rFonts w:asciiTheme="minorHAnsi" w:eastAsiaTheme="minorEastAsia" w:hAnsiTheme="minorHAnsi"/>
          <w:b w:val="0"/>
          <w:bCs w:val="0"/>
          <w:iCs w:val="0"/>
        </w:rPr>
      </w:pPr>
      <w:hyperlink w:anchor="_Toc190085479" w:history="1">
        <w:r w:rsidRPr="003C52A4">
          <w:rPr>
            <w:rStyle w:val="Hyperlink"/>
          </w:rPr>
          <w:t>7.</w:t>
        </w:r>
        <w:r>
          <w:rPr>
            <w:rFonts w:asciiTheme="minorHAnsi" w:eastAsiaTheme="minorEastAsia" w:hAnsiTheme="minorHAnsi"/>
            <w:b w:val="0"/>
            <w:bCs w:val="0"/>
            <w:iCs w:val="0"/>
          </w:rPr>
          <w:tab/>
        </w:r>
        <w:r w:rsidRPr="003C52A4">
          <w:rPr>
            <w:rStyle w:val="Hyperlink"/>
          </w:rPr>
          <w:t>DROIT FISCAL ET DOUANIER</w:t>
        </w:r>
        <w:r>
          <w:rPr>
            <w:webHidden/>
          </w:rPr>
          <w:tab/>
        </w:r>
        <w:r>
          <w:rPr>
            <w:webHidden/>
          </w:rPr>
          <w:fldChar w:fldCharType="begin"/>
        </w:r>
        <w:r>
          <w:rPr>
            <w:webHidden/>
          </w:rPr>
          <w:instrText xml:space="preserve"> PAGEREF _Toc190085479 \h </w:instrText>
        </w:r>
        <w:r>
          <w:rPr>
            <w:webHidden/>
          </w:rPr>
        </w:r>
        <w:r>
          <w:rPr>
            <w:webHidden/>
          </w:rPr>
          <w:fldChar w:fldCharType="separate"/>
        </w:r>
        <w:r>
          <w:rPr>
            <w:webHidden/>
          </w:rPr>
          <w:t>8</w:t>
        </w:r>
        <w:r>
          <w:rPr>
            <w:webHidden/>
          </w:rPr>
          <w:fldChar w:fldCharType="end"/>
        </w:r>
      </w:hyperlink>
    </w:p>
    <w:p w14:paraId="0784D732" w14:textId="228F0ABF" w:rsidR="003D25FE" w:rsidRDefault="003D25FE">
      <w:pPr>
        <w:pStyle w:val="TOC2"/>
        <w:tabs>
          <w:tab w:val="left" w:pos="720"/>
          <w:tab w:val="right" w:leader="dot" w:pos="9350"/>
        </w:tabs>
        <w:rPr>
          <w:rFonts w:asciiTheme="minorHAnsi" w:eastAsiaTheme="minorEastAsia" w:hAnsiTheme="minorHAnsi"/>
          <w:bCs w:val="0"/>
          <w:sz w:val="24"/>
          <w:szCs w:val="24"/>
        </w:rPr>
      </w:pPr>
      <w:hyperlink w:anchor="_Toc190085480" w:history="1">
        <w:r w:rsidRPr="003C52A4">
          <w:rPr>
            <w:rStyle w:val="Hyperlink"/>
          </w:rPr>
          <w:t>7.1</w:t>
        </w:r>
        <w:r>
          <w:rPr>
            <w:rFonts w:asciiTheme="minorHAnsi" w:eastAsiaTheme="minorEastAsia" w:hAnsiTheme="minorHAnsi"/>
            <w:bCs w:val="0"/>
            <w:sz w:val="24"/>
            <w:szCs w:val="24"/>
          </w:rPr>
          <w:tab/>
        </w:r>
        <w:r w:rsidRPr="003C52A4">
          <w:rPr>
            <w:rStyle w:val="Hyperlink"/>
          </w:rPr>
          <w:t>Annonce de la publication de l’arrêté conjoint fixant les redevances</w:t>
        </w:r>
        <w:r>
          <w:rPr>
            <w:webHidden/>
          </w:rPr>
          <w:tab/>
        </w:r>
        <w:r>
          <w:rPr>
            <w:webHidden/>
          </w:rPr>
          <w:fldChar w:fldCharType="begin"/>
        </w:r>
        <w:r>
          <w:rPr>
            <w:webHidden/>
          </w:rPr>
          <w:instrText xml:space="preserve"> PAGEREF _Toc190085480 \h </w:instrText>
        </w:r>
        <w:r>
          <w:rPr>
            <w:webHidden/>
          </w:rPr>
        </w:r>
        <w:r>
          <w:rPr>
            <w:webHidden/>
          </w:rPr>
          <w:fldChar w:fldCharType="separate"/>
        </w:r>
        <w:r>
          <w:rPr>
            <w:webHidden/>
          </w:rPr>
          <w:t>9</w:t>
        </w:r>
        <w:r>
          <w:rPr>
            <w:webHidden/>
          </w:rPr>
          <w:fldChar w:fldCharType="end"/>
        </w:r>
      </w:hyperlink>
    </w:p>
    <w:p w14:paraId="0E403B69" w14:textId="1A48A4BD" w:rsidR="003D25FE" w:rsidRDefault="003D25FE">
      <w:pPr>
        <w:pStyle w:val="TOC2"/>
        <w:tabs>
          <w:tab w:val="left" w:pos="960"/>
          <w:tab w:val="right" w:leader="dot" w:pos="9350"/>
        </w:tabs>
        <w:rPr>
          <w:rFonts w:asciiTheme="minorHAnsi" w:eastAsiaTheme="minorEastAsia" w:hAnsiTheme="minorHAnsi"/>
          <w:bCs w:val="0"/>
          <w:sz w:val="24"/>
          <w:szCs w:val="24"/>
        </w:rPr>
      </w:pPr>
      <w:hyperlink w:anchor="_Toc190085481" w:history="1">
        <w:r w:rsidRPr="003C52A4">
          <w:rPr>
            <w:rStyle w:val="Hyperlink"/>
          </w:rPr>
          <w:t>7.2</w:t>
        </w:r>
        <w:r>
          <w:rPr>
            <w:rFonts w:asciiTheme="minorHAnsi" w:eastAsiaTheme="minorEastAsia" w:hAnsiTheme="minorHAnsi"/>
            <w:bCs w:val="0"/>
            <w:sz w:val="24"/>
            <w:szCs w:val="24"/>
          </w:rPr>
          <w:tab/>
        </w:r>
        <w:r w:rsidRPr="003C52A4">
          <w:rPr>
            <w:rStyle w:val="Hyperlink"/>
          </w:rPr>
          <w:t>Report du délai de paiement de l’impôt minimum forfaitaire</w:t>
        </w:r>
        <w:r>
          <w:rPr>
            <w:webHidden/>
          </w:rPr>
          <w:tab/>
        </w:r>
        <w:r>
          <w:rPr>
            <w:webHidden/>
          </w:rPr>
          <w:fldChar w:fldCharType="begin"/>
        </w:r>
        <w:r>
          <w:rPr>
            <w:webHidden/>
          </w:rPr>
          <w:instrText xml:space="preserve"> PAGEREF _Toc190085481 \h </w:instrText>
        </w:r>
        <w:r>
          <w:rPr>
            <w:webHidden/>
          </w:rPr>
        </w:r>
        <w:r>
          <w:rPr>
            <w:webHidden/>
          </w:rPr>
          <w:fldChar w:fldCharType="separate"/>
        </w:r>
        <w:r>
          <w:rPr>
            <w:webHidden/>
          </w:rPr>
          <w:t>9</w:t>
        </w:r>
        <w:r>
          <w:rPr>
            <w:webHidden/>
          </w:rPr>
          <w:fldChar w:fldCharType="end"/>
        </w:r>
      </w:hyperlink>
    </w:p>
    <w:p w14:paraId="5133DEFF" w14:textId="713FBCD6" w:rsidR="003D25FE" w:rsidRDefault="003D25FE">
      <w:pPr>
        <w:pStyle w:val="TOC2"/>
        <w:tabs>
          <w:tab w:val="left" w:pos="960"/>
          <w:tab w:val="right" w:leader="dot" w:pos="9350"/>
        </w:tabs>
        <w:rPr>
          <w:rFonts w:asciiTheme="minorHAnsi" w:eastAsiaTheme="minorEastAsia" w:hAnsiTheme="minorHAnsi"/>
          <w:bCs w:val="0"/>
          <w:sz w:val="24"/>
          <w:szCs w:val="24"/>
        </w:rPr>
      </w:pPr>
      <w:hyperlink w:anchor="_Toc190085482" w:history="1">
        <w:r w:rsidRPr="003C52A4">
          <w:rPr>
            <w:rStyle w:val="Hyperlink"/>
          </w:rPr>
          <w:t>7.3</w:t>
        </w:r>
        <w:r>
          <w:rPr>
            <w:rFonts w:asciiTheme="minorHAnsi" w:eastAsiaTheme="minorEastAsia" w:hAnsiTheme="minorHAnsi"/>
            <w:bCs w:val="0"/>
            <w:sz w:val="24"/>
            <w:szCs w:val="24"/>
          </w:rPr>
          <w:tab/>
        </w:r>
        <w:r w:rsidRPr="003C52A4">
          <w:rPr>
            <w:rStyle w:val="Hyperlink"/>
          </w:rPr>
          <w:t>Appel au réexamen des mesures fiscales non conformes aux codes miniers et des investissements.</w:t>
        </w:r>
        <w:r>
          <w:rPr>
            <w:webHidden/>
          </w:rPr>
          <w:tab/>
        </w:r>
        <w:r>
          <w:rPr>
            <w:webHidden/>
          </w:rPr>
          <w:fldChar w:fldCharType="begin"/>
        </w:r>
        <w:r>
          <w:rPr>
            <w:webHidden/>
          </w:rPr>
          <w:instrText xml:space="preserve"> PAGEREF _Toc190085482 \h </w:instrText>
        </w:r>
        <w:r>
          <w:rPr>
            <w:webHidden/>
          </w:rPr>
        </w:r>
        <w:r>
          <w:rPr>
            <w:webHidden/>
          </w:rPr>
          <w:fldChar w:fldCharType="separate"/>
        </w:r>
        <w:r>
          <w:rPr>
            <w:webHidden/>
          </w:rPr>
          <w:t>9</w:t>
        </w:r>
        <w:r>
          <w:rPr>
            <w:webHidden/>
          </w:rPr>
          <w:fldChar w:fldCharType="end"/>
        </w:r>
      </w:hyperlink>
    </w:p>
    <w:p w14:paraId="6E6FE82C" w14:textId="68A5BED7" w:rsidR="00DE14BF" w:rsidRPr="004F38B7" w:rsidRDefault="00C138D3" w:rsidP="000F6504">
      <w:pPr>
        <w:tabs>
          <w:tab w:val="center" w:pos="4680"/>
        </w:tabs>
        <w:jc w:val="both"/>
        <w:rPr>
          <w:rFonts w:ascii="Candara" w:hAnsi="Candara"/>
          <w:sz w:val="20"/>
          <w:szCs w:val="20"/>
        </w:rPr>
      </w:pPr>
      <w:r w:rsidRPr="004F38B7">
        <w:rPr>
          <w:rFonts w:ascii="Candara" w:hAnsi="Candara"/>
          <w:sz w:val="20"/>
          <w:szCs w:val="20"/>
        </w:rPr>
        <w:fldChar w:fldCharType="end"/>
      </w:r>
    </w:p>
    <w:p w14:paraId="04486BAC" w14:textId="3EAB8DF6" w:rsidR="00D44537" w:rsidRDefault="00400354" w:rsidP="000F6504">
      <w:pPr>
        <w:tabs>
          <w:tab w:val="center" w:pos="4680"/>
        </w:tabs>
        <w:jc w:val="both"/>
        <w:rPr>
          <w:rFonts w:ascii="Candara" w:hAnsi="Candara"/>
        </w:rPr>
      </w:pPr>
      <w:r w:rsidRPr="004F38B7">
        <w:rPr>
          <w:rFonts w:ascii="Candara" w:hAnsi="Candara"/>
        </w:rPr>
        <w:tab/>
      </w:r>
    </w:p>
    <w:p w14:paraId="5671F8BF" w14:textId="0211E94B" w:rsidR="00521FAC" w:rsidRDefault="00521FAC" w:rsidP="000F6504">
      <w:pPr>
        <w:tabs>
          <w:tab w:val="center" w:pos="4680"/>
        </w:tabs>
        <w:jc w:val="both"/>
        <w:rPr>
          <w:rFonts w:ascii="Candara" w:hAnsi="Candara"/>
          <w:sz w:val="21"/>
          <w:szCs w:val="22"/>
        </w:rPr>
      </w:pPr>
    </w:p>
    <w:p w14:paraId="042F85C4" w14:textId="77777777" w:rsidR="00521FAC" w:rsidRPr="004F38B7" w:rsidRDefault="00521FAC" w:rsidP="000F6504">
      <w:pPr>
        <w:tabs>
          <w:tab w:val="center" w:pos="4680"/>
        </w:tabs>
        <w:jc w:val="both"/>
        <w:rPr>
          <w:rFonts w:ascii="Candara" w:hAnsi="Candara"/>
          <w:sz w:val="21"/>
          <w:szCs w:val="22"/>
        </w:rPr>
      </w:pPr>
    </w:p>
    <w:p w14:paraId="036C9402" w14:textId="71AB80CB" w:rsidR="00236445" w:rsidRPr="004F38B7" w:rsidRDefault="003D4207" w:rsidP="000F6504">
      <w:pPr>
        <w:pStyle w:val="Heading1"/>
        <w:jc w:val="both"/>
      </w:pPr>
      <w:bookmarkStart w:id="0" w:name="_Toc190085455"/>
      <w:r w:rsidRPr="004F38B7">
        <w:lastRenderedPageBreak/>
        <w:t>DROIT MINIER ET DE L’ENERGIE</w:t>
      </w:r>
      <w:bookmarkEnd w:id="0"/>
    </w:p>
    <w:p w14:paraId="254CE6BF" w14:textId="77777777" w:rsidR="00DE14BF" w:rsidRPr="004F38B7" w:rsidRDefault="00DE14BF" w:rsidP="00B95B35">
      <w:pPr>
        <w:rPr>
          <w:rFonts w:ascii="Candara" w:hAnsi="Candara"/>
        </w:rPr>
      </w:pPr>
    </w:p>
    <w:p w14:paraId="585E9BB8" w14:textId="77777777" w:rsidR="00513037" w:rsidRPr="004F38B7" w:rsidRDefault="00513037" w:rsidP="00513037">
      <w:pPr>
        <w:jc w:val="both"/>
        <w:rPr>
          <w:rFonts w:ascii="Candara" w:hAnsi="Candara"/>
        </w:rPr>
      </w:pPr>
    </w:p>
    <w:p w14:paraId="4088B8FC" w14:textId="77777777" w:rsidR="00513037" w:rsidRPr="004F38B7" w:rsidRDefault="00513037" w:rsidP="00AB3FA0">
      <w:pPr>
        <w:pStyle w:val="Heading2"/>
        <w:numPr>
          <w:ilvl w:val="1"/>
          <w:numId w:val="11"/>
        </w:numPr>
      </w:pPr>
      <w:bookmarkStart w:id="1" w:name="_Toc189668384"/>
      <w:bookmarkStart w:id="2" w:name="_Toc190085456"/>
      <w:r w:rsidRPr="004F38B7">
        <w:t>Certification de la société minière CBG à la norme de performance de l’Aluminium Stewardship Initiative (ASI)</w:t>
      </w:r>
      <w:bookmarkEnd w:id="1"/>
      <w:bookmarkEnd w:id="2"/>
    </w:p>
    <w:p w14:paraId="582D7EE7" w14:textId="77777777" w:rsidR="00513037" w:rsidRPr="004F38B7" w:rsidRDefault="00513037" w:rsidP="00513037">
      <w:pPr>
        <w:jc w:val="both"/>
        <w:rPr>
          <w:rFonts w:ascii="Candara" w:hAnsi="Candara"/>
        </w:rPr>
      </w:pPr>
    </w:p>
    <w:p w14:paraId="646A3836" w14:textId="77777777" w:rsidR="00513037" w:rsidRPr="004F38B7" w:rsidRDefault="00513037" w:rsidP="00AB3FA0">
      <w:pPr>
        <w:jc w:val="both"/>
        <w:rPr>
          <w:rFonts w:ascii="Candara" w:hAnsi="Candara"/>
        </w:rPr>
      </w:pPr>
      <w:r w:rsidRPr="004F38B7">
        <w:rPr>
          <w:rFonts w:ascii="Candara" w:hAnsi="Candara"/>
        </w:rPr>
        <w:t>La Compagnie des Bauxites de Guinée (CBG) annonce sa certification à la Norme de Performance de l’Aluminium Stewardship Initiative (ASI) qui reflète son engagement à des pratiques responsables en matière de valorisation de la bauxite guinéenne. La certification ASI est une norme mondiale reconnue qui atteste de l’engagement et la conformité d’une entreprise envers des pratiques environnementales, sociales et de gouvernance (ESG) rigoureuses tout au long de la chaîne de valeur de l’aluminium.</w:t>
      </w:r>
    </w:p>
    <w:p w14:paraId="59FB56B8" w14:textId="505DBAE1" w:rsidR="00513037" w:rsidRPr="004F38B7" w:rsidRDefault="00513037" w:rsidP="00AB3FA0">
      <w:pPr>
        <w:rPr>
          <w:rFonts w:ascii="Candara" w:hAnsi="Candara"/>
          <w:b/>
          <w:color w:val="00B050"/>
        </w:rPr>
      </w:pPr>
      <w:r w:rsidRPr="004F38B7">
        <w:rPr>
          <w:rFonts w:ascii="Candara" w:hAnsi="Candara"/>
          <w:b/>
          <w:color w:val="00B050"/>
        </w:rPr>
        <w:t xml:space="preserve">Réf : </w:t>
      </w:r>
      <w:hyperlink r:id="rId9" w:history="1">
        <w:r w:rsidRPr="004F38B7">
          <w:rPr>
            <w:rStyle w:val="Hyperlink"/>
            <w:rFonts w:ascii="Candara" w:hAnsi="Candara"/>
            <w:b/>
            <w:color w:val="00B050"/>
          </w:rPr>
          <w:t>https://mosaiqueguinee.com/2025/02/la-cbg-obtient-la-certification-definitive-a-la-norme-asi/</w:t>
        </w:r>
      </w:hyperlink>
    </w:p>
    <w:p w14:paraId="36D72A9F" w14:textId="77777777" w:rsidR="00AB3FA0" w:rsidRPr="004F38B7" w:rsidRDefault="00AB3FA0" w:rsidP="00AB3FA0">
      <w:pPr>
        <w:rPr>
          <w:rFonts w:ascii="Candara" w:hAnsi="Candara"/>
          <w:b/>
          <w:color w:val="00B050"/>
        </w:rPr>
      </w:pPr>
    </w:p>
    <w:p w14:paraId="5756D162" w14:textId="77777777" w:rsidR="00513037" w:rsidRPr="004F38B7" w:rsidRDefault="00513037" w:rsidP="00AB3FA0">
      <w:pPr>
        <w:pStyle w:val="Heading2"/>
        <w:numPr>
          <w:ilvl w:val="1"/>
          <w:numId w:val="11"/>
        </w:numPr>
      </w:pPr>
      <w:bookmarkStart w:id="3" w:name="_Toc189668385"/>
      <w:bookmarkStart w:id="4" w:name="_Toc190085457"/>
      <w:r w:rsidRPr="004F38B7">
        <w:t xml:space="preserve">Suspension du préavis de grève </w:t>
      </w:r>
      <w:bookmarkEnd w:id="3"/>
      <w:r w:rsidRPr="004F38B7">
        <w:t>de l’intersyndicale des fédérations des mines, carrières, industries minières et assimilés</w:t>
      </w:r>
      <w:bookmarkEnd w:id="4"/>
    </w:p>
    <w:p w14:paraId="38AB86C7" w14:textId="77777777" w:rsidR="00513037" w:rsidRPr="004F38B7" w:rsidRDefault="00513037" w:rsidP="00513037">
      <w:pPr>
        <w:rPr>
          <w:rFonts w:ascii="Candara" w:hAnsi="Candara"/>
        </w:rPr>
      </w:pPr>
    </w:p>
    <w:p w14:paraId="275E4288" w14:textId="77777777" w:rsidR="00513037" w:rsidRPr="004F38B7" w:rsidRDefault="00513037" w:rsidP="00513037">
      <w:pPr>
        <w:jc w:val="both"/>
        <w:rPr>
          <w:rFonts w:ascii="Candara" w:hAnsi="Candara"/>
        </w:rPr>
      </w:pPr>
      <w:r w:rsidRPr="004F38B7">
        <w:rPr>
          <w:rFonts w:ascii="Candara" w:hAnsi="Candara"/>
        </w:rPr>
        <w:t>L’intersyndicale des fédérations des mines, carrières, industries minières et assimilés a levé son mot d’ordre de grève dans lequel elle dénonçait le blocage des négociations par la Chambre des mines de Guinée concernant la fixation des salaires minimums pour les ouvriers non qualifiés et les agents de maîtrise dans le secteur minier. Si l’accord n’est pas encore signé, on note que la position de l’intersyndicale est de fixer le salaire minimum des ouvriers non qualifiés à 2,6 millions de francs guinéens et celui des agents de maîtrise à 8,5 millions de francs guinéens.</w:t>
      </w:r>
    </w:p>
    <w:p w14:paraId="662B24C2" w14:textId="778AEA47" w:rsidR="00513037" w:rsidRPr="004F38B7" w:rsidRDefault="00513037" w:rsidP="00AB3FA0">
      <w:pPr>
        <w:rPr>
          <w:rFonts w:ascii="Candara" w:hAnsi="Candara"/>
          <w:b/>
          <w:color w:val="00B050"/>
        </w:rPr>
      </w:pPr>
      <w:r w:rsidRPr="004F38B7">
        <w:rPr>
          <w:rFonts w:ascii="Candara" w:hAnsi="Candara"/>
          <w:b/>
          <w:color w:val="00B050"/>
        </w:rPr>
        <w:t xml:space="preserve">Réf : </w:t>
      </w:r>
      <w:hyperlink r:id="rId10" w:history="1">
        <w:r w:rsidRPr="004F38B7">
          <w:rPr>
            <w:rStyle w:val="Hyperlink"/>
            <w:rFonts w:ascii="Candara" w:hAnsi="Candara"/>
            <w:b/>
            <w:color w:val="00B050"/>
          </w:rPr>
          <w:t>https://emergencegn.net/guinee-la-menace-de-greve-des-employes-du-secteur-minier-definitivement-levee/</w:t>
        </w:r>
      </w:hyperlink>
    </w:p>
    <w:p w14:paraId="274AA1CD" w14:textId="77777777" w:rsidR="00AB3FA0" w:rsidRPr="004F38B7" w:rsidRDefault="00AB3FA0" w:rsidP="00AB3FA0">
      <w:pPr>
        <w:rPr>
          <w:rFonts w:ascii="Candara" w:hAnsi="Candara"/>
          <w:b/>
          <w:color w:val="00B050"/>
        </w:rPr>
      </w:pPr>
    </w:p>
    <w:p w14:paraId="744BD552" w14:textId="77777777" w:rsidR="00513037" w:rsidRPr="004F38B7" w:rsidRDefault="00513037" w:rsidP="00AB3FA0">
      <w:pPr>
        <w:pStyle w:val="Heading2"/>
        <w:numPr>
          <w:ilvl w:val="1"/>
          <w:numId w:val="11"/>
        </w:numPr>
      </w:pPr>
      <w:bookmarkStart w:id="5" w:name="_Toc189047911"/>
      <w:bookmarkStart w:id="6" w:name="_Toc190085458"/>
      <w:r w:rsidRPr="004F38B7">
        <w:t>Examen de la convention relative à la réalisation de la centrale solaire de Koumanguéli</w:t>
      </w:r>
      <w:bookmarkEnd w:id="5"/>
      <w:bookmarkEnd w:id="6"/>
    </w:p>
    <w:p w14:paraId="1C439617" w14:textId="77777777" w:rsidR="00513037" w:rsidRPr="004F38B7" w:rsidRDefault="00513037" w:rsidP="00513037">
      <w:pPr>
        <w:rPr>
          <w:rFonts w:ascii="Candara" w:hAnsi="Candara"/>
        </w:rPr>
      </w:pPr>
    </w:p>
    <w:p w14:paraId="67E1A806" w14:textId="77777777" w:rsidR="00513037" w:rsidRPr="004F38B7" w:rsidRDefault="00513037" w:rsidP="00AB3FA0">
      <w:pPr>
        <w:rPr>
          <w:rFonts w:ascii="Candara" w:hAnsi="Candara"/>
        </w:rPr>
      </w:pPr>
      <w:r w:rsidRPr="004F38B7">
        <w:rPr>
          <w:rFonts w:ascii="Candara" w:hAnsi="Candara"/>
        </w:rPr>
        <w:t xml:space="preserve">La convention relative à la réalisation de la centrale solaire de Koumanguéli a fait l’objet d’un examen approfondi le 22 janvier 2025, en inter-commission entre conseillers nationaux, les promoteurs du projet et les cadres techniques du ministère de l’énergie, de l’hydraulique et des hydrocarbures </w:t>
      </w:r>
    </w:p>
    <w:p w14:paraId="56F7ECCF" w14:textId="77777777" w:rsidR="00513037" w:rsidRPr="004F38B7" w:rsidRDefault="00513037" w:rsidP="00AB3FA0">
      <w:pPr>
        <w:rPr>
          <w:rFonts w:ascii="Candara" w:hAnsi="Candara"/>
          <w:b/>
          <w:color w:val="00B050"/>
        </w:rPr>
      </w:pPr>
      <w:r w:rsidRPr="004F38B7">
        <w:rPr>
          <w:rFonts w:ascii="Candara" w:hAnsi="Candara"/>
          <w:b/>
          <w:color w:val="00B050"/>
        </w:rPr>
        <w:t>Réf :</w:t>
      </w:r>
      <w:hyperlink r:id="rId11" w:history="1">
        <w:r w:rsidRPr="004F38B7">
          <w:rPr>
            <w:rStyle w:val="Hyperlink"/>
            <w:rFonts w:ascii="Candara" w:hAnsi="Candara"/>
            <w:b/>
            <w:color w:val="00B050"/>
          </w:rPr>
          <w:t>https://www.facebook.com/EnergieGN/posts/pfbid033psvynyi8CpDgKCwbwMqgXRU4PpW5Lnw4e5j6kyTpcMa8kD7tJP8Zewq7DUBWBQml</w:t>
        </w:r>
      </w:hyperlink>
    </w:p>
    <w:p w14:paraId="0A7D6FBE" w14:textId="09347157" w:rsidR="0049354F" w:rsidRPr="004F38B7" w:rsidRDefault="0049354F" w:rsidP="0049354F">
      <w:pPr>
        <w:rPr>
          <w:rFonts w:ascii="Candara" w:hAnsi="Candara"/>
          <w:lang w:eastAsia="fr-FR"/>
        </w:rPr>
      </w:pPr>
    </w:p>
    <w:p w14:paraId="3BECDB9D" w14:textId="08B1FB0B" w:rsidR="0049354F" w:rsidRPr="004F38B7" w:rsidRDefault="0049354F" w:rsidP="0049354F">
      <w:pPr>
        <w:rPr>
          <w:rFonts w:ascii="Candara" w:hAnsi="Candara"/>
          <w:lang w:eastAsia="fr-FR"/>
        </w:rPr>
      </w:pPr>
    </w:p>
    <w:p w14:paraId="5E83D094" w14:textId="71BDDAFE" w:rsidR="0049354F" w:rsidRPr="004F38B7" w:rsidRDefault="0049354F" w:rsidP="0049354F">
      <w:pPr>
        <w:rPr>
          <w:rFonts w:ascii="Candara" w:hAnsi="Candara"/>
          <w:lang w:eastAsia="fr-FR"/>
        </w:rPr>
      </w:pPr>
    </w:p>
    <w:p w14:paraId="1B872B07" w14:textId="77777777" w:rsidR="007079AA" w:rsidRPr="004F38B7" w:rsidRDefault="007079AA" w:rsidP="0049354F">
      <w:pPr>
        <w:rPr>
          <w:rFonts w:ascii="Candara" w:hAnsi="Candara"/>
          <w:lang w:eastAsia="fr-FR"/>
        </w:rPr>
      </w:pPr>
    </w:p>
    <w:p w14:paraId="1AC34E52" w14:textId="67CD5C95" w:rsidR="00810A2B" w:rsidRPr="004F38B7" w:rsidRDefault="00C138D3" w:rsidP="00810A2B">
      <w:pPr>
        <w:pStyle w:val="Heading1"/>
        <w:jc w:val="both"/>
      </w:pPr>
      <w:bookmarkStart w:id="7" w:name="_Toc190085459"/>
      <w:r w:rsidRPr="004F38B7">
        <w:lastRenderedPageBreak/>
        <w:t>DROIT DES SOCIETES</w:t>
      </w:r>
      <w:bookmarkEnd w:id="7"/>
      <w:r w:rsidRPr="004F38B7">
        <w:t xml:space="preserve"> </w:t>
      </w:r>
    </w:p>
    <w:p w14:paraId="4C65C13B" w14:textId="22654D05" w:rsidR="00A465FD" w:rsidRPr="004F38B7" w:rsidRDefault="00A465FD" w:rsidP="00A465FD">
      <w:pPr>
        <w:rPr>
          <w:rFonts w:ascii="Candara" w:hAnsi="Candara"/>
        </w:rPr>
      </w:pPr>
    </w:p>
    <w:p w14:paraId="3FDC8036" w14:textId="77777777" w:rsidR="00F813AE" w:rsidRPr="004F38B7" w:rsidRDefault="00F813AE" w:rsidP="00F813AE">
      <w:pPr>
        <w:jc w:val="both"/>
        <w:rPr>
          <w:rFonts w:ascii="Candara" w:hAnsi="Candara" w:cs="Times New Roman"/>
        </w:rPr>
      </w:pPr>
    </w:p>
    <w:p w14:paraId="1024E790" w14:textId="4A7A0D17" w:rsidR="00513037" w:rsidRPr="004F38B7" w:rsidRDefault="00513037" w:rsidP="00B43ED0">
      <w:pPr>
        <w:pStyle w:val="Heading2"/>
        <w:numPr>
          <w:ilvl w:val="1"/>
          <w:numId w:val="18"/>
        </w:numPr>
        <w:tabs>
          <w:tab w:val="center" w:pos="4513"/>
        </w:tabs>
      </w:pPr>
      <w:bookmarkStart w:id="8" w:name="_Toc189668388"/>
      <w:bookmarkStart w:id="9" w:name="_Toc190085460"/>
      <w:r w:rsidRPr="004F38B7">
        <w:rPr>
          <w:lang w:val="fr-CA"/>
        </w:rPr>
        <w:t>La limite des pouvoirs des dirigeants sociaux de la société en liquidation</w:t>
      </w:r>
      <w:bookmarkEnd w:id="8"/>
      <w:bookmarkEnd w:id="9"/>
    </w:p>
    <w:p w14:paraId="72D43316" w14:textId="77777777" w:rsidR="00513037" w:rsidRPr="004F38B7" w:rsidRDefault="00513037" w:rsidP="00513037">
      <w:pPr>
        <w:jc w:val="both"/>
        <w:rPr>
          <w:rFonts w:ascii="Candara" w:hAnsi="Candara"/>
        </w:rPr>
      </w:pPr>
    </w:p>
    <w:p w14:paraId="51B8C089" w14:textId="77777777" w:rsidR="00513037" w:rsidRPr="004F38B7" w:rsidRDefault="00513037" w:rsidP="00513037">
      <w:pPr>
        <w:jc w:val="both"/>
        <w:rPr>
          <w:rFonts w:ascii="Candara" w:hAnsi="Candara"/>
        </w:rPr>
      </w:pPr>
      <w:r w:rsidRPr="004F38B7">
        <w:rPr>
          <w:rFonts w:ascii="Candara" w:hAnsi="Candara"/>
        </w:rPr>
        <w:t>Selon les disposition de l’article 53 alinéa 1 de l’Acte uniforme portant organisation des procédures collectives d’apurement du passif, la décision qui prononce la liquidation des biens d’une personne morale emporte de plein droit dissolution de celle-ci de telle sorte que le mandat des dirigeants sociaux ayant pris fin par l’effet des décisions judiciaires prononçant sa liquidation, le président directeur général de la société n’a plus le pouvoir de procéder en son nom à des actes juridiques.</w:t>
      </w:r>
    </w:p>
    <w:p w14:paraId="37BF3730" w14:textId="60D20C7A" w:rsidR="00513037" w:rsidRPr="004F38B7" w:rsidRDefault="00513037" w:rsidP="00B43ED0">
      <w:pPr>
        <w:jc w:val="both"/>
        <w:rPr>
          <w:rFonts w:ascii="Candara" w:hAnsi="Candara"/>
          <w:b/>
          <w:color w:val="00B050"/>
        </w:rPr>
      </w:pPr>
      <w:r w:rsidRPr="004F38B7">
        <w:rPr>
          <w:rFonts w:ascii="Candara" w:hAnsi="Candara"/>
          <w:b/>
          <w:color w:val="00B050"/>
        </w:rPr>
        <w:t>Réf : CCJA, 1ère Ch., Arrêt N° 39/2016 du 29 Février 2016, aff. Société COMMISSIONS IMPORT EXPORT dite COMMISIMPEX c/ a CAISSE NATIONALE DE SECURITE SOCIALE du Congo Brazzaville</w:t>
      </w:r>
    </w:p>
    <w:p w14:paraId="75357EE8" w14:textId="77777777" w:rsidR="00B43ED0" w:rsidRPr="004F38B7" w:rsidRDefault="00B43ED0" w:rsidP="00B43ED0">
      <w:pPr>
        <w:jc w:val="both"/>
        <w:rPr>
          <w:rFonts w:ascii="Candara" w:hAnsi="Candara"/>
          <w:b/>
          <w:color w:val="00B050"/>
        </w:rPr>
      </w:pPr>
    </w:p>
    <w:p w14:paraId="65513CDE" w14:textId="03365D33" w:rsidR="00513037" w:rsidRPr="004F38B7" w:rsidRDefault="00513037" w:rsidP="00B43ED0">
      <w:pPr>
        <w:pStyle w:val="Heading2"/>
        <w:numPr>
          <w:ilvl w:val="1"/>
          <w:numId w:val="18"/>
        </w:numPr>
      </w:pPr>
      <w:bookmarkStart w:id="10" w:name="_Toc189668389"/>
      <w:bookmarkStart w:id="11" w:name="_Toc190085461"/>
      <w:r w:rsidRPr="004F38B7">
        <w:t>Obligation pour les dirigeants sociaux, de respecter le droit préférentiel de souscription des actionnaires en cas d’augmentation du capital social</w:t>
      </w:r>
      <w:bookmarkEnd w:id="10"/>
      <w:bookmarkEnd w:id="11"/>
    </w:p>
    <w:p w14:paraId="7898FE0A" w14:textId="77777777" w:rsidR="00513037" w:rsidRPr="004F38B7" w:rsidRDefault="00513037" w:rsidP="00513037">
      <w:pPr>
        <w:jc w:val="both"/>
        <w:rPr>
          <w:rFonts w:ascii="Candara" w:hAnsi="Candara"/>
        </w:rPr>
      </w:pPr>
    </w:p>
    <w:p w14:paraId="2056CD55" w14:textId="77777777" w:rsidR="00513037" w:rsidRPr="004F38B7" w:rsidRDefault="00513037" w:rsidP="00513037">
      <w:pPr>
        <w:jc w:val="both"/>
        <w:rPr>
          <w:rFonts w:ascii="Candara" w:hAnsi="Candara"/>
        </w:rPr>
      </w:pPr>
      <w:r w:rsidRPr="004F38B7">
        <w:rPr>
          <w:rFonts w:ascii="Candara" w:hAnsi="Candara"/>
        </w:rPr>
        <w:t>Encourent des sanctions pénales, les dirigeants sociaux qui, lors d’une augmentation de capital n’auront pas fait bénéficier les actionnaires, proportionnellement au montant de leurs actions, d’un droit préférentiel de souscription des actions de numéraire lorsque ce droit n’a pas été supprimé par l’assemblée générale et que les actionnaires n’y ont pas renoncé.</w:t>
      </w:r>
    </w:p>
    <w:p w14:paraId="3D0FE78F" w14:textId="51066C93" w:rsidR="00513037" w:rsidRPr="004F38B7" w:rsidRDefault="00513037" w:rsidP="00B43ED0">
      <w:pPr>
        <w:rPr>
          <w:rFonts w:ascii="Candara" w:hAnsi="Candara"/>
          <w:b/>
          <w:color w:val="00B050"/>
        </w:rPr>
      </w:pPr>
      <w:r w:rsidRPr="004F38B7">
        <w:rPr>
          <w:rFonts w:ascii="Candara" w:hAnsi="Candara"/>
          <w:b/>
          <w:color w:val="00B050"/>
        </w:rPr>
        <w:t>Réf : Art. 894 al 1 Acte uniforme relatif au droit des sociétés commerciales et du groupement d’intérêt économique</w:t>
      </w:r>
    </w:p>
    <w:p w14:paraId="7E803451" w14:textId="77777777" w:rsidR="00B43ED0" w:rsidRPr="004F38B7" w:rsidRDefault="00B43ED0" w:rsidP="00B43ED0">
      <w:pPr>
        <w:rPr>
          <w:rFonts w:ascii="Candara" w:hAnsi="Candara"/>
          <w:b/>
          <w:color w:val="00B050"/>
        </w:rPr>
      </w:pPr>
    </w:p>
    <w:p w14:paraId="01B98C80" w14:textId="6AB970B5" w:rsidR="00513037" w:rsidRPr="004F38B7" w:rsidRDefault="00513037" w:rsidP="00B43ED0">
      <w:pPr>
        <w:pStyle w:val="Heading2"/>
        <w:numPr>
          <w:ilvl w:val="1"/>
          <w:numId w:val="18"/>
        </w:numPr>
        <w:tabs>
          <w:tab w:val="center" w:pos="4513"/>
        </w:tabs>
        <w:rPr>
          <w:lang w:val="fr-CA"/>
        </w:rPr>
      </w:pPr>
      <w:bookmarkStart w:id="12" w:name="_Toc189047915"/>
      <w:bookmarkStart w:id="13" w:name="_Toc190085462"/>
      <w:r w:rsidRPr="004F38B7">
        <w:rPr>
          <w:lang w:val="fr-CA"/>
        </w:rPr>
        <w:t>Irrecevabilité pour cause de prescription de l’action</w:t>
      </w:r>
      <w:bookmarkEnd w:id="12"/>
      <w:bookmarkEnd w:id="13"/>
    </w:p>
    <w:p w14:paraId="464FBE6D" w14:textId="77777777" w:rsidR="00513037" w:rsidRPr="004F38B7" w:rsidRDefault="00513037" w:rsidP="00513037">
      <w:pPr>
        <w:rPr>
          <w:rFonts w:ascii="Candara" w:hAnsi="Candara"/>
          <w:lang w:val="fr-CA"/>
        </w:rPr>
      </w:pPr>
    </w:p>
    <w:p w14:paraId="7C4930B7" w14:textId="77777777" w:rsidR="00513037" w:rsidRPr="004F38B7" w:rsidRDefault="00513037" w:rsidP="00521FAC">
      <w:pPr>
        <w:jc w:val="both"/>
        <w:rPr>
          <w:rFonts w:ascii="Candara" w:hAnsi="Candara"/>
          <w:lang w:val="fr-CA"/>
        </w:rPr>
      </w:pPr>
      <w:r w:rsidRPr="004F38B7">
        <w:rPr>
          <w:rFonts w:ascii="Candara" w:hAnsi="Candara"/>
        </w:rPr>
        <w:t>Les obligations nées à l’occasion de leur commerce entre commerçants, ou entre commerçants et non- commerçants, se prescrivant par cinq ans, l’action en réclamation de la rémunération du directeur général adjoint de la société, dont le contrat est résilié il y a plus de cinq ans est frappée de prescription et doit être déclarée irrecevable.</w:t>
      </w:r>
    </w:p>
    <w:p w14:paraId="3BFE2EF2" w14:textId="66719B25" w:rsidR="004C07AE" w:rsidRPr="00521FAC" w:rsidRDefault="00513037" w:rsidP="003F3F99">
      <w:pPr>
        <w:rPr>
          <w:rFonts w:ascii="Candara" w:hAnsi="Candara"/>
          <w:b/>
          <w:color w:val="00B050"/>
          <w:lang w:val="en-US"/>
        </w:rPr>
      </w:pPr>
      <w:r w:rsidRPr="004F38B7">
        <w:rPr>
          <w:rFonts w:ascii="Candara" w:hAnsi="Candara"/>
          <w:b/>
          <w:color w:val="00B050"/>
        </w:rPr>
        <w:t xml:space="preserve">Réf : CCJA, 2e Ch., Arrêt No130/2017 du 18 mai 2017, aff. </w:t>
      </w:r>
      <w:r w:rsidRPr="00521FAC">
        <w:rPr>
          <w:rFonts w:ascii="Candara" w:hAnsi="Candara"/>
          <w:b/>
          <w:color w:val="00B050"/>
          <w:lang w:val="en-US"/>
        </w:rPr>
        <w:t>Madame Aza Ngu OTAY c/ société Ecobank Cameroun SA</w:t>
      </w:r>
    </w:p>
    <w:p w14:paraId="4072716C" w14:textId="687407C0" w:rsidR="00B538C2" w:rsidRPr="004F38B7" w:rsidRDefault="00B538C2" w:rsidP="000F6504">
      <w:pPr>
        <w:jc w:val="both"/>
        <w:rPr>
          <w:rFonts w:ascii="Candara" w:hAnsi="Candara"/>
          <w:lang w:val="en-US"/>
        </w:rPr>
      </w:pPr>
    </w:p>
    <w:p w14:paraId="3C897C3C" w14:textId="016FEDFB" w:rsidR="004D16B0" w:rsidRPr="004F38B7" w:rsidRDefault="004D16B0" w:rsidP="000F6504">
      <w:pPr>
        <w:jc w:val="both"/>
        <w:rPr>
          <w:rFonts w:ascii="Candara" w:hAnsi="Candara"/>
          <w:lang w:val="en-US"/>
        </w:rPr>
      </w:pPr>
    </w:p>
    <w:p w14:paraId="3E09640A" w14:textId="6725C790" w:rsidR="004D16B0" w:rsidRPr="004F38B7" w:rsidRDefault="004D16B0" w:rsidP="000F6504">
      <w:pPr>
        <w:jc w:val="both"/>
        <w:rPr>
          <w:rFonts w:ascii="Candara" w:hAnsi="Candara"/>
          <w:lang w:val="en-US"/>
        </w:rPr>
      </w:pPr>
    </w:p>
    <w:p w14:paraId="2F65CA29" w14:textId="6F09617B" w:rsidR="003F3F99" w:rsidRPr="004F38B7" w:rsidRDefault="003F3F99" w:rsidP="000F6504">
      <w:pPr>
        <w:jc w:val="both"/>
        <w:rPr>
          <w:rFonts w:ascii="Candara" w:hAnsi="Candara"/>
          <w:lang w:val="en-US"/>
        </w:rPr>
      </w:pPr>
    </w:p>
    <w:p w14:paraId="55ED9CAD" w14:textId="17A06F65" w:rsidR="003F3F99" w:rsidRPr="004F38B7" w:rsidRDefault="003F3F99" w:rsidP="000F6504">
      <w:pPr>
        <w:jc w:val="both"/>
        <w:rPr>
          <w:rFonts w:ascii="Candara" w:hAnsi="Candara"/>
          <w:lang w:val="en-US"/>
        </w:rPr>
      </w:pPr>
    </w:p>
    <w:p w14:paraId="00DE214E" w14:textId="64B055DF" w:rsidR="003F3F99" w:rsidRPr="004F38B7" w:rsidRDefault="003F3F99" w:rsidP="000F6504">
      <w:pPr>
        <w:jc w:val="both"/>
        <w:rPr>
          <w:rFonts w:ascii="Candara" w:hAnsi="Candara"/>
          <w:lang w:val="en-US"/>
        </w:rPr>
      </w:pPr>
    </w:p>
    <w:p w14:paraId="5BDB301E" w14:textId="77777777" w:rsidR="003F3F99" w:rsidRPr="004F38B7" w:rsidRDefault="003F3F99" w:rsidP="000F6504">
      <w:pPr>
        <w:jc w:val="both"/>
        <w:rPr>
          <w:rFonts w:ascii="Candara" w:hAnsi="Candara"/>
          <w:lang w:val="en-US"/>
        </w:rPr>
      </w:pPr>
    </w:p>
    <w:p w14:paraId="53409A2A" w14:textId="77777777" w:rsidR="002825BA" w:rsidRPr="004F38B7" w:rsidRDefault="002825BA" w:rsidP="000F6504">
      <w:pPr>
        <w:jc w:val="both"/>
        <w:rPr>
          <w:rFonts w:ascii="Candara" w:hAnsi="Candara"/>
          <w:lang w:val="en-US"/>
        </w:rPr>
      </w:pPr>
    </w:p>
    <w:p w14:paraId="64D74D39" w14:textId="6579CAB7" w:rsidR="00C57F60" w:rsidRPr="004F38B7" w:rsidRDefault="00AF5819" w:rsidP="000F6504">
      <w:pPr>
        <w:pStyle w:val="Heading1"/>
        <w:jc w:val="both"/>
      </w:pPr>
      <w:bookmarkStart w:id="14" w:name="_Toc190085463"/>
      <w:r w:rsidRPr="004F38B7">
        <w:lastRenderedPageBreak/>
        <w:t>DROIT BANCAIRE ET FINANCIER</w:t>
      </w:r>
      <w:bookmarkEnd w:id="14"/>
    </w:p>
    <w:p w14:paraId="1337FDE3" w14:textId="46FE32E5" w:rsidR="009318F4" w:rsidRPr="004F38B7" w:rsidRDefault="009318F4" w:rsidP="008E7926">
      <w:pPr>
        <w:rPr>
          <w:rFonts w:ascii="Candara" w:hAnsi="Candara"/>
          <w:b/>
        </w:rPr>
      </w:pPr>
    </w:p>
    <w:p w14:paraId="1EEEB764" w14:textId="77777777" w:rsidR="00E20D2A" w:rsidRPr="004F38B7" w:rsidRDefault="00E20D2A" w:rsidP="008E7926">
      <w:pPr>
        <w:rPr>
          <w:rFonts w:ascii="Candara" w:hAnsi="Candara"/>
          <w:b/>
        </w:rPr>
      </w:pPr>
    </w:p>
    <w:p w14:paraId="142BD47C" w14:textId="0F106D83" w:rsidR="00513037" w:rsidRPr="004F38B7" w:rsidRDefault="003F3F99" w:rsidP="003F3F99">
      <w:pPr>
        <w:pStyle w:val="Heading2"/>
        <w:numPr>
          <w:ilvl w:val="1"/>
          <w:numId w:val="19"/>
        </w:numPr>
      </w:pPr>
      <w:bookmarkStart w:id="15" w:name="_Toc189668392"/>
      <w:bookmarkStart w:id="16" w:name="_Toc190085464"/>
      <w:r w:rsidRPr="004F38B7">
        <w:t>I</w:t>
      </w:r>
      <w:r w:rsidR="00513037" w:rsidRPr="004F38B7">
        <w:t>nstructions du premier ministre sur la gestion des investissements publics</w:t>
      </w:r>
      <w:bookmarkEnd w:id="15"/>
      <w:bookmarkEnd w:id="16"/>
    </w:p>
    <w:p w14:paraId="70835ECD" w14:textId="77777777" w:rsidR="00513037" w:rsidRPr="004F38B7" w:rsidRDefault="00513037" w:rsidP="00513037">
      <w:pPr>
        <w:jc w:val="both"/>
        <w:rPr>
          <w:rFonts w:ascii="Candara" w:hAnsi="Candara"/>
        </w:rPr>
      </w:pPr>
    </w:p>
    <w:p w14:paraId="7AD8E2CB" w14:textId="77777777" w:rsidR="00513037" w:rsidRPr="004F38B7" w:rsidRDefault="00513037" w:rsidP="00513037">
      <w:pPr>
        <w:jc w:val="both"/>
        <w:rPr>
          <w:rFonts w:ascii="Candara" w:hAnsi="Candara"/>
        </w:rPr>
      </w:pPr>
      <w:r w:rsidRPr="004F38B7">
        <w:rPr>
          <w:rFonts w:ascii="Candara" w:hAnsi="Candara"/>
        </w:rPr>
        <w:t>Dans une lettre circulaire datée du 28 janvier 2025, le premier ministre donne aux maitres d’ouvrages, ministères sectoriels, présidents des institutions, directeurs des organismes publics et acteurs de terrain, des directives relatives à l’application stricte des dispositions du Décret D/0176 du 13 octobre 2024 portant cadre général de gestion des investissements publics en Guinée.</w:t>
      </w:r>
    </w:p>
    <w:p w14:paraId="6D817D8E" w14:textId="5EB0B68D" w:rsidR="00513037" w:rsidRPr="004F38B7" w:rsidRDefault="00513037" w:rsidP="003F3F99">
      <w:pPr>
        <w:rPr>
          <w:rFonts w:ascii="Candara" w:hAnsi="Candara"/>
          <w:b/>
          <w:color w:val="00B050"/>
        </w:rPr>
      </w:pPr>
      <w:r w:rsidRPr="004F38B7">
        <w:rPr>
          <w:rFonts w:ascii="Candara" w:hAnsi="Candara"/>
          <w:b/>
          <w:color w:val="00B050"/>
        </w:rPr>
        <w:t xml:space="preserve">Réf : </w:t>
      </w:r>
      <w:hyperlink r:id="rId12" w:history="1">
        <w:r w:rsidRPr="004F38B7">
          <w:rPr>
            <w:rStyle w:val="Hyperlink"/>
            <w:rFonts w:ascii="Candara" w:hAnsi="Candara"/>
            <w:b/>
            <w:color w:val="00B050"/>
          </w:rPr>
          <w:t>https://www.mef.gov.gn/primature-mef-dgip-lettre-circulaire-des-directives-relatives-a-lapplication-du-dehttps://www.mef.gov.gn/primature-mef-dgip-lettre-circulaire-des-directives-relatives-a-lapplication-du-decret-d-0176-du-13-octobre-2024-portant-cadre-general-de-gestion-des-investissements-publics-en-guinee/cret-d-0176-du-13-octobre-2024-portant-cadre-general-de-gestion-des-investissements-publics-en-guinee/</w:t>
        </w:r>
      </w:hyperlink>
    </w:p>
    <w:p w14:paraId="3C582B58" w14:textId="77777777" w:rsidR="003F3F99" w:rsidRPr="004F38B7" w:rsidRDefault="003F3F99" w:rsidP="003F3F99">
      <w:pPr>
        <w:rPr>
          <w:rFonts w:ascii="Candara" w:hAnsi="Candara"/>
          <w:b/>
          <w:color w:val="00B050"/>
        </w:rPr>
      </w:pPr>
    </w:p>
    <w:p w14:paraId="77FD4D17" w14:textId="6B0097E5" w:rsidR="00513037" w:rsidRPr="004F38B7" w:rsidRDefault="00513037" w:rsidP="003F3F99">
      <w:pPr>
        <w:pStyle w:val="Heading2"/>
        <w:numPr>
          <w:ilvl w:val="1"/>
          <w:numId w:val="19"/>
        </w:numPr>
      </w:pPr>
      <w:bookmarkStart w:id="17" w:name="_Toc189668394"/>
      <w:bookmarkStart w:id="18" w:name="_Toc190085465"/>
      <w:r w:rsidRPr="004F38B7">
        <w:t>Plafonnement des dépenses publiques  par la loi de finances 2025</w:t>
      </w:r>
      <w:bookmarkEnd w:id="17"/>
      <w:bookmarkEnd w:id="18"/>
    </w:p>
    <w:p w14:paraId="4B8375D3" w14:textId="77777777" w:rsidR="00513037" w:rsidRPr="004F38B7" w:rsidRDefault="00513037" w:rsidP="00513037">
      <w:pPr>
        <w:jc w:val="both"/>
        <w:rPr>
          <w:rFonts w:ascii="Candara" w:hAnsi="Candara"/>
        </w:rPr>
      </w:pPr>
    </w:p>
    <w:p w14:paraId="0D4BECE8" w14:textId="77777777" w:rsidR="00513037" w:rsidRPr="004F38B7" w:rsidRDefault="00513037" w:rsidP="00513037">
      <w:pPr>
        <w:jc w:val="both"/>
        <w:rPr>
          <w:rFonts w:ascii="Candara" w:hAnsi="Candara"/>
        </w:rPr>
      </w:pPr>
      <w:r w:rsidRPr="004F38B7">
        <w:rPr>
          <w:rFonts w:ascii="Candara" w:hAnsi="Candara"/>
        </w:rPr>
        <w:t xml:space="preserve">Les engagements de dépenses s’effectuent dans la limite des plafonds trimestriels de crédits notifiés par arrêté du ministre du budget en fonction des recettes attendues pour le trimestre. </w:t>
      </w:r>
    </w:p>
    <w:p w14:paraId="34CC3E2C" w14:textId="1C6437E9" w:rsidR="00513037" w:rsidRPr="004F38B7" w:rsidRDefault="00513037" w:rsidP="003F3F99">
      <w:pPr>
        <w:rPr>
          <w:rFonts w:ascii="Candara" w:hAnsi="Candara"/>
          <w:b/>
          <w:color w:val="00B050"/>
        </w:rPr>
      </w:pPr>
      <w:r w:rsidRPr="004F38B7">
        <w:rPr>
          <w:rFonts w:ascii="Candara" w:hAnsi="Candara"/>
          <w:b/>
          <w:color w:val="00B050"/>
        </w:rPr>
        <w:t>Réf : Art. 32 Loi de finances initiale 2025</w:t>
      </w:r>
    </w:p>
    <w:p w14:paraId="4BC1B298" w14:textId="77777777" w:rsidR="003F3F99" w:rsidRPr="004F38B7" w:rsidRDefault="003F3F99" w:rsidP="003F3F99">
      <w:pPr>
        <w:rPr>
          <w:rFonts w:ascii="Candara" w:hAnsi="Candara"/>
          <w:b/>
          <w:color w:val="00B050"/>
        </w:rPr>
      </w:pPr>
    </w:p>
    <w:p w14:paraId="538B5301" w14:textId="11111275" w:rsidR="00513037" w:rsidRPr="004F38B7" w:rsidRDefault="00513037" w:rsidP="003F3F99">
      <w:pPr>
        <w:pStyle w:val="Heading2"/>
        <w:numPr>
          <w:ilvl w:val="1"/>
          <w:numId w:val="19"/>
        </w:numPr>
      </w:pPr>
      <w:bookmarkStart w:id="19" w:name="_Toc189047919"/>
      <w:bookmarkStart w:id="20" w:name="_Toc190085466"/>
      <w:r w:rsidRPr="004F38B7">
        <w:t>Signature de la convention de financement du projet de construction de la cité administrative de Koloma</w:t>
      </w:r>
      <w:bookmarkEnd w:id="19"/>
      <w:bookmarkEnd w:id="20"/>
    </w:p>
    <w:p w14:paraId="22FC257B" w14:textId="77777777" w:rsidR="00513037" w:rsidRPr="004F38B7" w:rsidRDefault="00513037" w:rsidP="00513037">
      <w:pPr>
        <w:rPr>
          <w:rFonts w:ascii="Candara" w:hAnsi="Candara"/>
        </w:rPr>
      </w:pPr>
    </w:p>
    <w:p w14:paraId="3E36AA8A" w14:textId="77777777" w:rsidR="00513037" w:rsidRPr="004F38B7" w:rsidRDefault="00513037" w:rsidP="003F3F99">
      <w:pPr>
        <w:jc w:val="both"/>
        <w:rPr>
          <w:rFonts w:ascii="Candara" w:hAnsi="Candara"/>
          <w:lang w:val="fr-CA"/>
        </w:rPr>
      </w:pPr>
      <w:r w:rsidRPr="004F38B7">
        <w:rPr>
          <w:rFonts w:ascii="Candara" w:hAnsi="Candara"/>
          <w:lang w:val="fr-CA"/>
        </w:rPr>
        <w:t>Dans le souci d’offrir des conditions de travail optimales et modernes aux fonctionnaires, le projet de construction d'une cité administrative à Koloma, en banlieue de Conakry, lancé par le gouvernement Guinéen a en mars 2023 a été matérialisé le 23 janvier 2025 par la signature de la convention de financement de ce projet.</w:t>
      </w:r>
    </w:p>
    <w:p w14:paraId="52393537" w14:textId="77777777" w:rsidR="00513037" w:rsidRPr="004F38B7" w:rsidRDefault="00513037" w:rsidP="003F3F99">
      <w:pPr>
        <w:rPr>
          <w:rFonts w:ascii="Candara" w:hAnsi="Candara"/>
          <w:b/>
          <w:color w:val="00B050"/>
        </w:rPr>
      </w:pPr>
      <w:r w:rsidRPr="004F38B7">
        <w:rPr>
          <w:rFonts w:ascii="Candara" w:hAnsi="Candara"/>
          <w:b/>
          <w:color w:val="00B050"/>
        </w:rPr>
        <w:t xml:space="preserve">Réf : </w:t>
      </w:r>
      <w:hyperlink r:id="rId13" w:history="1">
        <w:r w:rsidRPr="004F38B7">
          <w:rPr>
            <w:rStyle w:val="Hyperlink"/>
            <w:rFonts w:ascii="Candara" w:hAnsi="Candara"/>
            <w:b/>
            <w:color w:val="00B050"/>
          </w:rPr>
          <w:t>https://presidence.gov.gn/mise-en-oeuvre-du-programme-simandou-2040-le-general-amara-camara-ministre-secretaire-general-de-la-presidence-officie-la-ceremonie-de-signature-de-la-convention-de-financement-du-projet-de-constru/</w:t>
        </w:r>
      </w:hyperlink>
    </w:p>
    <w:p w14:paraId="5C30DE9F" w14:textId="59D96F19" w:rsidR="00DE4100" w:rsidRPr="004F38B7" w:rsidRDefault="00DE4100" w:rsidP="00F0308A">
      <w:pPr>
        <w:jc w:val="both"/>
        <w:rPr>
          <w:rFonts w:ascii="Candara" w:hAnsi="Candara"/>
          <w:b/>
          <w:color w:val="00B050"/>
          <w:lang w:val="fr-CA"/>
        </w:rPr>
      </w:pPr>
    </w:p>
    <w:p w14:paraId="0587FD29" w14:textId="1FBACAF9" w:rsidR="00DE4100" w:rsidRPr="004F38B7" w:rsidRDefault="00DE4100" w:rsidP="00F0308A">
      <w:pPr>
        <w:jc w:val="both"/>
        <w:rPr>
          <w:rFonts w:ascii="Candara" w:hAnsi="Candara"/>
          <w:b/>
          <w:color w:val="00B050"/>
        </w:rPr>
      </w:pPr>
    </w:p>
    <w:p w14:paraId="1B41BF7E" w14:textId="5FCF5690" w:rsidR="0087729D" w:rsidRPr="004F38B7" w:rsidRDefault="0087729D" w:rsidP="000F6504">
      <w:pPr>
        <w:jc w:val="both"/>
        <w:rPr>
          <w:rFonts w:ascii="Candara" w:hAnsi="Candara"/>
          <w:b/>
          <w:color w:val="00B050"/>
        </w:rPr>
      </w:pPr>
    </w:p>
    <w:p w14:paraId="3038C986" w14:textId="0D97F326" w:rsidR="00AA7B4F" w:rsidRPr="004F38B7" w:rsidRDefault="00AA7B4F" w:rsidP="000F6504">
      <w:pPr>
        <w:jc w:val="both"/>
        <w:rPr>
          <w:rFonts w:ascii="Candara" w:hAnsi="Candara"/>
          <w:b/>
          <w:color w:val="00B050"/>
        </w:rPr>
      </w:pPr>
    </w:p>
    <w:p w14:paraId="1957A7A3" w14:textId="2D4EC2ED" w:rsidR="00AA7B4F" w:rsidRPr="004F38B7" w:rsidRDefault="00AA7B4F" w:rsidP="000F6504">
      <w:pPr>
        <w:jc w:val="both"/>
        <w:rPr>
          <w:rFonts w:ascii="Candara" w:hAnsi="Candara"/>
          <w:b/>
          <w:color w:val="00B050"/>
        </w:rPr>
      </w:pPr>
    </w:p>
    <w:p w14:paraId="4198DC95" w14:textId="3060031C" w:rsidR="00F903A0" w:rsidRPr="004F38B7" w:rsidRDefault="00F903A0" w:rsidP="000F6504">
      <w:pPr>
        <w:jc w:val="both"/>
        <w:rPr>
          <w:rFonts w:ascii="Candara" w:hAnsi="Candara"/>
          <w:b/>
          <w:color w:val="00B050"/>
        </w:rPr>
      </w:pPr>
    </w:p>
    <w:p w14:paraId="6E6412C0" w14:textId="10304ED5" w:rsidR="00E5022A" w:rsidRPr="004F38B7" w:rsidRDefault="00E5022A" w:rsidP="000F6504">
      <w:pPr>
        <w:jc w:val="both"/>
        <w:rPr>
          <w:rFonts w:ascii="Candara" w:hAnsi="Candara"/>
          <w:b/>
          <w:color w:val="00B050"/>
        </w:rPr>
      </w:pPr>
    </w:p>
    <w:p w14:paraId="284CF741" w14:textId="2BB64318" w:rsidR="00E5022A" w:rsidRPr="004F38B7" w:rsidRDefault="00E5022A" w:rsidP="000F6504">
      <w:pPr>
        <w:jc w:val="both"/>
        <w:rPr>
          <w:rFonts w:ascii="Candara" w:hAnsi="Candara"/>
          <w:b/>
          <w:color w:val="00B050"/>
        </w:rPr>
      </w:pPr>
    </w:p>
    <w:p w14:paraId="0A38B854" w14:textId="77777777" w:rsidR="00E5022A" w:rsidRPr="004F38B7" w:rsidRDefault="00E5022A" w:rsidP="000F6504">
      <w:pPr>
        <w:jc w:val="both"/>
        <w:rPr>
          <w:rFonts w:ascii="Candara" w:hAnsi="Candara"/>
          <w:b/>
          <w:color w:val="00B050"/>
        </w:rPr>
      </w:pPr>
    </w:p>
    <w:p w14:paraId="0D4B3EF3" w14:textId="77777777" w:rsidR="00B538C2" w:rsidRPr="004F38B7" w:rsidRDefault="00B538C2" w:rsidP="000F6504">
      <w:pPr>
        <w:jc w:val="both"/>
        <w:rPr>
          <w:rFonts w:ascii="Candara" w:hAnsi="Candara"/>
          <w:b/>
          <w:color w:val="00B050"/>
        </w:rPr>
      </w:pPr>
    </w:p>
    <w:p w14:paraId="397CF511" w14:textId="2F49359F" w:rsidR="00375970" w:rsidRPr="004F38B7" w:rsidRDefault="00EC5EA2" w:rsidP="0087729D">
      <w:pPr>
        <w:pStyle w:val="Heading1"/>
        <w:jc w:val="both"/>
      </w:pPr>
      <w:bookmarkStart w:id="21" w:name="_Toc190085467"/>
      <w:r w:rsidRPr="004F38B7">
        <w:lastRenderedPageBreak/>
        <w:t>DROIT DU TRAVAIL</w:t>
      </w:r>
      <w:bookmarkStart w:id="22" w:name="_Toc170824235"/>
      <w:bookmarkEnd w:id="21"/>
    </w:p>
    <w:p w14:paraId="6F53ADD6" w14:textId="5B9A5F87" w:rsidR="00F813AE" w:rsidRPr="004F38B7" w:rsidRDefault="00F813AE" w:rsidP="00F813AE">
      <w:pPr>
        <w:rPr>
          <w:rFonts w:ascii="Candara" w:hAnsi="Candara"/>
          <w:b/>
          <w:color w:val="00B050"/>
        </w:rPr>
      </w:pPr>
    </w:p>
    <w:p w14:paraId="4C4FB69A" w14:textId="77777777" w:rsidR="00E5022A" w:rsidRPr="004F38B7" w:rsidRDefault="00E5022A" w:rsidP="00F813AE">
      <w:pPr>
        <w:rPr>
          <w:rFonts w:ascii="Candara" w:hAnsi="Candara"/>
          <w:b/>
          <w:color w:val="00B050"/>
        </w:rPr>
      </w:pPr>
    </w:p>
    <w:p w14:paraId="72BA4E4A" w14:textId="5F9254FB" w:rsidR="00513037" w:rsidRPr="004F38B7" w:rsidRDefault="00513037" w:rsidP="003F3F99">
      <w:pPr>
        <w:pStyle w:val="Heading2"/>
        <w:numPr>
          <w:ilvl w:val="1"/>
          <w:numId w:val="20"/>
        </w:numPr>
      </w:pPr>
      <w:bookmarkStart w:id="23" w:name="_Toc189668396"/>
      <w:bookmarkStart w:id="24" w:name="_Toc190085468"/>
      <w:bookmarkEnd w:id="22"/>
      <w:r w:rsidRPr="004F38B7">
        <w:t>Présentation d</w:t>
      </w:r>
      <w:r w:rsidR="003D25FE">
        <w:t>es travaux</w:t>
      </w:r>
      <w:r w:rsidRPr="004F38B7">
        <w:t xml:space="preserve"> de révision du Code du travail</w:t>
      </w:r>
      <w:bookmarkEnd w:id="23"/>
      <w:bookmarkEnd w:id="24"/>
    </w:p>
    <w:p w14:paraId="705A6058" w14:textId="77777777" w:rsidR="00513037" w:rsidRPr="004F38B7" w:rsidRDefault="00513037" w:rsidP="00513037">
      <w:pPr>
        <w:jc w:val="both"/>
        <w:rPr>
          <w:rFonts w:ascii="Candara" w:hAnsi="Candara"/>
        </w:rPr>
      </w:pPr>
    </w:p>
    <w:p w14:paraId="562F0CB9" w14:textId="77777777" w:rsidR="00513037" w:rsidRPr="004F38B7" w:rsidRDefault="00513037" w:rsidP="00513037">
      <w:pPr>
        <w:jc w:val="both"/>
        <w:rPr>
          <w:rFonts w:ascii="Candara" w:hAnsi="Candara"/>
        </w:rPr>
      </w:pPr>
      <w:r w:rsidRPr="004F38B7">
        <w:rPr>
          <w:rFonts w:ascii="Candara" w:hAnsi="Candara"/>
        </w:rPr>
        <w:t>Au cours de la cérémonie de clôture de la session de la Commission Consultative du Travail et des Lois Sociales (CCTLS) le 27 janvier 2025, les résultats issus du processus de révision du Code du travail ont été présentés. Ce projet de Code du Travail, comporte 515 articles et intègre plusieurs innovations majeures, notamment l’introduction du télétravail : le renforcement des principes et droits fondamentaux au travail ; la lutte accrue contre toutes formes de discrimination, de violence et de harcèlement ; le renforcement de la protection des travailleurs en situation de précarité ; la promotion de l’emploi des personnes handicapées, entre autres.</w:t>
      </w:r>
    </w:p>
    <w:p w14:paraId="6607FFAE" w14:textId="730E47E4" w:rsidR="00513037" w:rsidRPr="004F38B7" w:rsidRDefault="00513037" w:rsidP="003F3F99">
      <w:pPr>
        <w:rPr>
          <w:rFonts w:ascii="Candara" w:hAnsi="Candara"/>
          <w:b/>
          <w:color w:val="00B050"/>
        </w:rPr>
      </w:pPr>
      <w:r w:rsidRPr="004F38B7">
        <w:rPr>
          <w:rFonts w:ascii="Candara" w:hAnsi="Candara"/>
          <w:b/>
          <w:color w:val="00B050"/>
        </w:rPr>
        <w:t xml:space="preserve"> Réf : </w:t>
      </w:r>
      <w:hyperlink r:id="rId14" w:history="1">
        <w:r w:rsidRPr="004F38B7">
          <w:rPr>
            <w:rStyle w:val="Hyperlink"/>
            <w:rFonts w:ascii="Candara" w:hAnsi="Candara"/>
            <w:b/>
            <w:color w:val="00B050"/>
          </w:rPr>
          <w:t>https://fonctionpublique.gov.gn/conakry-le-ministre-faya-francois-bourouno-preside-la-ceremonie-de-cloture-des-travaux-de-lexamen-de-lavant-projet-du-code-du-travail/</w:t>
        </w:r>
      </w:hyperlink>
    </w:p>
    <w:p w14:paraId="05E8E40D" w14:textId="77777777" w:rsidR="003F3F99" w:rsidRPr="004F38B7" w:rsidRDefault="003F3F99" w:rsidP="003F3F99">
      <w:pPr>
        <w:rPr>
          <w:rFonts w:ascii="Candara" w:hAnsi="Candara"/>
          <w:b/>
          <w:color w:val="00B050"/>
        </w:rPr>
      </w:pPr>
    </w:p>
    <w:p w14:paraId="048EED07" w14:textId="1E93ACDE" w:rsidR="00513037" w:rsidRPr="004F38B7" w:rsidRDefault="00513037" w:rsidP="003F3F99">
      <w:pPr>
        <w:pStyle w:val="Heading2"/>
        <w:numPr>
          <w:ilvl w:val="1"/>
          <w:numId w:val="20"/>
        </w:numPr>
      </w:pPr>
      <w:bookmarkStart w:id="25" w:name="_Toc189668397"/>
      <w:bookmarkStart w:id="26" w:name="_Toc190085469"/>
      <w:r w:rsidRPr="004F38B7">
        <w:t>Présentation du nouveau cadre juridique des concours et examens professionnels</w:t>
      </w:r>
      <w:bookmarkEnd w:id="25"/>
      <w:bookmarkEnd w:id="26"/>
      <w:r w:rsidRPr="004F38B7">
        <w:t xml:space="preserve"> </w:t>
      </w:r>
    </w:p>
    <w:p w14:paraId="7A27D3D8" w14:textId="77777777" w:rsidR="00513037" w:rsidRPr="004F38B7" w:rsidRDefault="00513037" w:rsidP="00513037">
      <w:pPr>
        <w:jc w:val="both"/>
        <w:rPr>
          <w:rFonts w:ascii="Candara" w:hAnsi="Candara"/>
        </w:rPr>
      </w:pPr>
    </w:p>
    <w:p w14:paraId="64F70F69" w14:textId="77777777" w:rsidR="00513037" w:rsidRPr="004F38B7" w:rsidRDefault="00513037" w:rsidP="00513037">
      <w:pPr>
        <w:jc w:val="both"/>
        <w:rPr>
          <w:rFonts w:ascii="Candara" w:hAnsi="Candara"/>
        </w:rPr>
      </w:pPr>
      <w:r w:rsidRPr="004F38B7">
        <w:rPr>
          <w:rFonts w:ascii="Candara" w:hAnsi="Candara"/>
        </w:rPr>
        <w:t xml:space="preserve">En conseil scientifique le 29 janvier 2025 au ministère du travail et de la fonction publique, le texte réglementant les concours et examens professionnels en Guinée a été présenté. Par ailleurs, le Bulletin mensuel de la gestion des ressources humaines, outil qui permettra d’assurer un suivi régulier de la situation des agents de l’État, notamment en matière d’effectifs, de blocages et déblocages de salaires, de masse salariale, ainsi que du statut des fonctionnaires en détachement ou en disponibilité, a également fait l’objet d’examen. </w:t>
      </w:r>
    </w:p>
    <w:p w14:paraId="7517186A" w14:textId="225B8489" w:rsidR="00513037" w:rsidRPr="004F38B7" w:rsidRDefault="00513037" w:rsidP="003F3F99">
      <w:pPr>
        <w:rPr>
          <w:rFonts w:ascii="Candara" w:hAnsi="Candara"/>
          <w:b/>
          <w:color w:val="00B050"/>
        </w:rPr>
      </w:pPr>
      <w:r w:rsidRPr="004F38B7">
        <w:rPr>
          <w:rFonts w:ascii="Candara" w:hAnsi="Candara"/>
          <w:b/>
          <w:color w:val="00B050"/>
        </w:rPr>
        <w:t xml:space="preserve">Réf : </w:t>
      </w:r>
      <w:hyperlink r:id="rId15" w:history="1">
        <w:r w:rsidRPr="004F38B7">
          <w:rPr>
            <w:rStyle w:val="Hyperlink"/>
            <w:rFonts w:ascii="Candara" w:hAnsi="Candara"/>
            <w:b/>
            <w:color w:val="00B050"/>
          </w:rPr>
          <w:t>https://fonctionpublique.gov.gn/conseil-scientifique-mtfp-des-textes-majeurs-examines-sous-la-presidence-du-secretaire-general-m-aboubacar-kourouma/</w:t>
        </w:r>
      </w:hyperlink>
    </w:p>
    <w:p w14:paraId="2BF844FA" w14:textId="77777777" w:rsidR="003F3F99" w:rsidRPr="004F38B7" w:rsidRDefault="003F3F99" w:rsidP="003F3F99">
      <w:pPr>
        <w:rPr>
          <w:rFonts w:ascii="Candara" w:hAnsi="Candara"/>
          <w:b/>
          <w:color w:val="00B050"/>
        </w:rPr>
      </w:pPr>
    </w:p>
    <w:p w14:paraId="3056796D" w14:textId="62C8735E" w:rsidR="00AB3FA0" w:rsidRPr="004F38B7" w:rsidRDefault="00AB3FA0" w:rsidP="003F3F99">
      <w:pPr>
        <w:pStyle w:val="Heading2"/>
        <w:numPr>
          <w:ilvl w:val="1"/>
          <w:numId w:val="20"/>
        </w:numPr>
      </w:pPr>
      <w:bookmarkStart w:id="27" w:name="_Toc189047923"/>
      <w:bookmarkStart w:id="28" w:name="_Toc190085470"/>
      <w:r w:rsidRPr="004F38B7">
        <w:t>Adoption du traité révisé de la CIPRES</w:t>
      </w:r>
      <w:bookmarkEnd w:id="27"/>
      <w:bookmarkEnd w:id="28"/>
    </w:p>
    <w:p w14:paraId="007D08DE" w14:textId="77777777" w:rsidR="00AB3FA0" w:rsidRPr="004F38B7" w:rsidRDefault="00AB3FA0" w:rsidP="00AB3FA0">
      <w:pPr>
        <w:rPr>
          <w:rFonts w:ascii="Candara" w:hAnsi="Candara"/>
        </w:rPr>
      </w:pPr>
    </w:p>
    <w:p w14:paraId="57C9DDF3" w14:textId="77777777" w:rsidR="00AB3FA0" w:rsidRPr="004F38B7" w:rsidRDefault="00AB3FA0" w:rsidP="003F3F99">
      <w:pPr>
        <w:jc w:val="both"/>
        <w:rPr>
          <w:rFonts w:ascii="Candara" w:hAnsi="Candara"/>
        </w:rPr>
      </w:pPr>
      <w:r w:rsidRPr="004F38B7">
        <w:rPr>
          <w:rFonts w:ascii="Candara" w:hAnsi="Candara"/>
        </w:rPr>
        <w:t>Au cours de sa plénière du 24 janvier 2025, le Conseil National de la Transition a examiné et adopté, le traité révisé de la Conférence Interafricaine de Prévoyance Sociale (CIPRES) qui permettra aux Guinéens travaillant dans les pays membres de la CIPRES de bénéficier des mêmes droits et obligations que les citoyens nationaux en matière de sécurité sociale.</w:t>
      </w:r>
    </w:p>
    <w:p w14:paraId="7654A10C" w14:textId="77777777" w:rsidR="00AB3FA0" w:rsidRPr="004F38B7" w:rsidRDefault="00AB3FA0" w:rsidP="003F3F99">
      <w:pPr>
        <w:rPr>
          <w:rFonts w:ascii="Candara" w:hAnsi="Candara"/>
          <w:b/>
          <w:color w:val="00B050"/>
        </w:rPr>
      </w:pPr>
      <w:r w:rsidRPr="004F38B7">
        <w:rPr>
          <w:rFonts w:ascii="Candara" w:hAnsi="Candara"/>
          <w:b/>
          <w:color w:val="00B050"/>
        </w:rPr>
        <w:t xml:space="preserve"> Réf : </w:t>
      </w:r>
      <w:hyperlink r:id="rId16" w:history="1">
        <w:r w:rsidRPr="004F38B7">
          <w:rPr>
            <w:rStyle w:val="Hyperlink"/>
            <w:rFonts w:ascii="Candara" w:hAnsi="Candara"/>
            <w:b/>
            <w:color w:val="00B050"/>
          </w:rPr>
          <w:t>https://fonctionpublique.gov.gn/protection-sociale-le-cnt-adopte-le-traite-revise-de-la-cipres-et-la-convention-multilaterale-de-securite-sociale/</w:t>
        </w:r>
      </w:hyperlink>
    </w:p>
    <w:p w14:paraId="63F20D3A" w14:textId="72CAF675" w:rsidR="00A27BB6" w:rsidRPr="004F38B7" w:rsidRDefault="00585366" w:rsidP="003F3F99">
      <w:pPr>
        <w:pStyle w:val="Quote"/>
      </w:pPr>
      <w:hyperlink r:id="rId17" w:history="1"/>
      <w:hyperlink r:id="rId18" w:history="1"/>
      <w:hyperlink r:id="rId19" w:history="1"/>
      <w:hyperlink r:id="rId20" w:history="1"/>
      <w:r w:rsidR="00F813AE" w:rsidRPr="004F38B7">
        <w:t xml:space="preserve"> </w:t>
      </w:r>
    </w:p>
    <w:p w14:paraId="06041DB9" w14:textId="2D251893" w:rsidR="00A27BB6" w:rsidRPr="004F38B7" w:rsidRDefault="00A27BB6" w:rsidP="00F01E15">
      <w:pPr>
        <w:spacing w:line="276" w:lineRule="auto"/>
        <w:jc w:val="both"/>
        <w:rPr>
          <w:rFonts w:ascii="Candara" w:hAnsi="Candara"/>
          <w:b/>
          <w:color w:val="00B050"/>
        </w:rPr>
      </w:pPr>
    </w:p>
    <w:p w14:paraId="0010B3D8" w14:textId="37E73743" w:rsidR="004E5D7A" w:rsidRPr="004F38B7" w:rsidRDefault="004E5D7A" w:rsidP="000F6504">
      <w:pPr>
        <w:jc w:val="both"/>
        <w:rPr>
          <w:rFonts w:ascii="Candara" w:hAnsi="Candara"/>
          <w:b/>
          <w:color w:val="00B050"/>
        </w:rPr>
      </w:pPr>
    </w:p>
    <w:p w14:paraId="3C3FD25E" w14:textId="77762F7F" w:rsidR="003F3F99" w:rsidRPr="004F38B7" w:rsidRDefault="003F3F99" w:rsidP="000F6504">
      <w:pPr>
        <w:jc w:val="both"/>
        <w:rPr>
          <w:rFonts w:ascii="Candara" w:hAnsi="Candara"/>
          <w:b/>
          <w:color w:val="00B050"/>
        </w:rPr>
      </w:pPr>
    </w:p>
    <w:p w14:paraId="0C0902B1" w14:textId="77777777" w:rsidR="003F3F99" w:rsidRPr="004F38B7" w:rsidRDefault="003F3F99" w:rsidP="000F6504">
      <w:pPr>
        <w:jc w:val="both"/>
        <w:rPr>
          <w:rFonts w:ascii="Candara" w:hAnsi="Candara"/>
          <w:b/>
          <w:color w:val="00B050"/>
        </w:rPr>
      </w:pPr>
    </w:p>
    <w:p w14:paraId="01DE67F1" w14:textId="6875496B" w:rsidR="006626AC" w:rsidRPr="004F38B7" w:rsidRDefault="00C138D3" w:rsidP="006626AC">
      <w:pPr>
        <w:pStyle w:val="Heading1"/>
      </w:pPr>
      <w:bookmarkStart w:id="29" w:name="_Toc190085471"/>
      <w:r w:rsidRPr="004F38B7">
        <w:lastRenderedPageBreak/>
        <w:t xml:space="preserve">DROIT </w:t>
      </w:r>
      <w:r w:rsidR="00DD7350" w:rsidRPr="004F38B7">
        <w:t>DES CONTRATS, PPP ET MARCHES PUBLICS</w:t>
      </w:r>
      <w:bookmarkStart w:id="30" w:name="_Toc179539356"/>
      <w:bookmarkEnd w:id="29"/>
    </w:p>
    <w:p w14:paraId="768E6EAD" w14:textId="77777777" w:rsidR="006626AC" w:rsidRPr="004F38B7" w:rsidRDefault="006626AC" w:rsidP="006626AC">
      <w:pPr>
        <w:rPr>
          <w:rFonts w:ascii="Candara" w:hAnsi="Candara"/>
        </w:rPr>
      </w:pPr>
    </w:p>
    <w:p w14:paraId="01372066" w14:textId="77777777" w:rsidR="00F813AE" w:rsidRPr="004F38B7" w:rsidRDefault="00F813AE" w:rsidP="00F813AE">
      <w:pPr>
        <w:rPr>
          <w:rFonts w:ascii="Candara" w:hAnsi="Candara"/>
          <w:lang w:val="fr-CA"/>
        </w:rPr>
      </w:pPr>
    </w:p>
    <w:p w14:paraId="4972AB03" w14:textId="09A19889" w:rsidR="00AB3FA0" w:rsidRPr="004F38B7" w:rsidRDefault="00AB3FA0" w:rsidP="003F3F99">
      <w:pPr>
        <w:pStyle w:val="Heading2"/>
        <w:numPr>
          <w:ilvl w:val="1"/>
          <w:numId w:val="21"/>
        </w:numPr>
      </w:pPr>
      <w:bookmarkStart w:id="31" w:name="_Toc189668400"/>
      <w:bookmarkStart w:id="32" w:name="_Toc190085472"/>
      <w:bookmarkEnd w:id="30"/>
      <w:r w:rsidRPr="004F38B7">
        <w:rPr>
          <w:lang w:val="fr-CA"/>
        </w:rPr>
        <w:t>Validation du document de la stratégie nationale de formation des acteurs de la commande publique</w:t>
      </w:r>
      <w:bookmarkEnd w:id="31"/>
      <w:bookmarkEnd w:id="32"/>
    </w:p>
    <w:p w14:paraId="4F1773A5" w14:textId="77777777" w:rsidR="00AB3FA0" w:rsidRPr="004F38B7" w:rsidRDefault="00AB3FA0" w:rsidP="00AB3FA0">
      <w:pPr>
        <w:jc w:val="both"/>
        <w:rPr>
          <w:rFonts w:ascii="Candara" w:hAnsi="Candara"/>
          <w:lang w:val="fr-CA"/>
        </w:rPr>
      </w:pPr>
    </w:p>
    <w:p w14:paraId="51BC6DD0" w14:textId="77777777" w:rsidR="00AB3FA0" w:rsidRPr="004F38B7" w:rsidRDefault="00AB3FA0" w:rsidP="00AB3FA0">
      <w:pPr>
        <w:jc w:val="both"/>
        <w:rPr>
          <w:rFonts w:ascii="Candara" w:hAnsi="Candara"/>
        </w:rPr>
      </w:pPr>
      <w:r w:rsidRPr="004F38B7">
        <w:rPr>
          <w:rFonts w:ascii="Candara" w:hAnsi="Candara"/>
        </w:rPr>
        <w:t>Dans le cadre de la modernisation de la gestion des marchés publics en Guinée, le Comité de pilotage de l’ARMP, a validé le 29 janvier 2025, le document de la stratégie nationale de formation des acteurs de la commande publique.</w:t>
      </w:r>
    </w:p>
    <w:p w14:paraId="44CD9B7B" w14:textId="1F9AEDB0" w:rsidR="00AB3FA0" w:rsidRPr="004F38B7" w:rsidRDefault="00AB3FA0" w:rsidP="003F3F99">
      <w:pPr>
        <w:rPr>
          <w:rFonts w:ascii="Candara" w:hAnsi="Candara"/>
          <w:b/>
          <w:color w:val="00B050"/>
        </w:rPr>
      </w:pPr>
      <w:r w:rsidRPr="004F38B7">
        <w:rPr>
          <w:rFonts w:ascii="Candara" w:hAnsi="Candara"/>
          <w:b/>
          <w:color w:val="00B050"/>
        </w:rPr>
        <w:t xml:space="preserve">Réf : </w:t>
      </w:r>
      <w:hyperlink r:id="rId21" w:history="1">
        <w:r w:rsidRPr="004F38B7">
          <w:rPr>
            <w:rStyle w:val="Hyperlink"/>
            <w:rFonts w:ascii="Candara" w:hAnsi="Candara"/>
            <w:b/>
            <w:color w:val="00B050"/>
          </w:rPr>
          <w:t>https://armpguinee.org/validation-du-document-de-la-strategie-nationale-de-formation-des-acteurs-de-la-commande-publique/</w:t>
        </w:r>
      </w:hyperlink>
    </w:p>
    <w:p w14:paraId="159D4E0F" w14:textId="77777777" w:rsidR="003F3F99" w:rsidRPr="004F38B7" w:rsidRDefault="003F3F99" w:rsidP="003F3F99">
      <w:pPr>
        <w:rPr>
          <w:rFonts w:ascii="Candara" w:hAnsi="Candara"/>
          <w:b/>
        </w:rPr>
      </w:pPr>
    </w:p>
    <w:p w14:paraId="0E56D503" w14:textId="61E62400" w:rsidR="00AB3FA0" w:rsidRPr="004F38B7" w:rsidRDefault="00AB3FA0" w:rsidP="003F3F99">
      <w:pPr>
        <w:pStyle w:val="Heading2"/>
        <w:numPr>
          <w:ilvl w:val="1"/>
          <w:numId w:val="21"/>
        </w:numPr>
      </w:pPr>
      <w:bookmarkStart w:id="33" w:name="_Toc189668401"/>
      <w:bookmarkStart w:id="34" w:name="_Toc190085473"/>
      <w:r w:rsidRPr="004F38B7">
        <w:t>Annulation d’une procédure de passation de marché public pour violation de la loi</w:t>
      </w:r>
      <w:bookmarkEnd w:id="33"/>
      <w:bookmarkEnd w:id="34"/>
      <w:r w:rsidRPr="004F38B7">
        <w:t xml:space="preserve"> </w:t>
      </w:r>
    </w:p>
    <w:p w14:paraId="343693B4" w14:textId="77777777" w:rsidR="00AB3FA0" w:rsidRPr="004F38B7" w:rsidRDefault="00AB3FA0" w:rsidP="00AB3FA0">
      <w:pPr>
        <w:jc w:val="both"/>
        <w:rPr>
          <w:rFonts w:ascii="Candara" w:hAnsi="Candara"/>
        </w:rPr>
      </w:pPr>
    </w:p>
    <w:p w14:paraId="2CCD4266" w14:textId="77777777" w:rsidR="00AB3FA0" w:rsidRPr="004F38B7" w:rsidRDefault="00AB3FA0" w:rsidP="00AB3FA0">
      <w:pPr>
        <w:jc w:val="both"/>
        <w:rPr>
          <w:rFonts w:ascii="Candara" w:hAnsi="Candara"/>
        </w:rPr>
      </w:pPr>
      <w:r w:rsidRPr="004F38B7">
        <w:rPr>
          <w:rFonts w:ascii="Candara" w:hAnsi="Candara"/>
        </w:rPr>
        <w:t>Le Comité de règlements des différents et des sanctions de l’ARMP, dans sa décision du 13 décembre 2024 a, conformément à l’article 81 et suivant du décret D/333/PRG/SGG du Code des marchés publics, prononcé l’annulation d’une procédure d’attribution d’un marché public pour violation du Code des marchés publics et ordonné la reprise de la procédure par l’autorité contractante.</w:t>
      </w:r>
    </w:p>
    <w:p w14:paraId="59790D02" w14:textId="54FFEDD7" w:rsidR="00AB3FA0" w:rsidRPr="004F38B7" w:rsidRDefault="00AB3FA0" w:rsidP="003F3F99">
      <w:pPr>
        <w:rPr>
          <w:rFonts w:ascii="Candara" w:hAnsi="Candara"/>
          <w:b/>
          <w:color w:val="00B050"/>
        </w:rPr>
      </w:pPr>
      <w:r w:rsidRPr="004F38B7">
        <w:rPr>
          <w:rFonts w:ascii="Candara" w:hAnsi="Candara"/>
          <w:b/>
          <w:color w:val="00B050"/>
        </w:rPr>
        <w:t>Réf : Décision n°07/2024/ARMP/CR/CRDS du 13 décembre 2024</w:t>
      </w:r>
    </w:p>
    <w:p w14:paraId="795422C6" w14:textId="77777777" w:rsidR="003F3F99" w:rsidRPr="004F38B7" w:rsidRDefault="003F3F99" w:rsidP="003F3F99">
      <w:pPr>
        <w:rPr>
          <w:rFonts w:ascii="Candara" w:hAnsi="Candara"/>
          <w:b/>
          <w:color w:val="00B050"/>
        </w:rPr>
      </w:pPr>
    </w:p>
    <w:p w14:paraId="77AA78D7" w14:textId="5C1699F1" w:rsidR="00AB3FA0" w:rsidRPr="004F38B7" w:rsidRDefault="00AB3FA0" w:rsidP="003F3F99">
      <w:pPr>
        <w:pStyle w:val="Heading2"/>
        <w:numPr>
          <w:ilvl w:val="1"/>
          <w:numId w:val="21"/>
        </w:numPr>
      </w:pPr>
      <w:bookmarkStart w:id="35" w:name="_Toc189047929"/>
      <w:bookmarkStart w:id="36" w:name="_Toc190085474"/>
      <w:r w:rsidRPr="004F38B7">
        <w:t>Le champ de compétence du juge des référés sur le contentieux du bail professionnel</w:t>
      </w:r>
      <w:bookmarkEnd w:id="35"/>
      <w:bookmarkEnd w:id="36"/>
      <w:r w:rsidRPr="004F38B7">
        <w:t xml:space="preserve"> </w:t>
      </w:r>
    </w:p>
    <w:p w14:paraId="61EACA03" w14:textId="77777777" w:rsidR="00AB3FA0" w:rsidRPr="004F38B7" w:rsidRDefault="00AB3FA0" w:rsidP="00AB3FA0">
      <w:pPr>
        <w:rPr>
          <w:rFonts w:ascii="Candara" w:hAnsi="Candara"/>
        </w:rPr>
      </w:pPr>
    </w:p>
    <w:p w14:paraId="0754C350" w14:textId="77777777" w:rsidR="00AB3FA0" w:rsidRPr="004F38B7" w:rsidRDefault="00AB3FA0" w:rsidP="003F3F99">
      <w:pPr>
        <w:jc w:val="both"/>
        <w:rPr>
          <w:rFonts w:ascii="Candara" w:hAnsi="Candara"/>
          <w:lang w:val="fr-CA"/>
        </w:rPr>
      </w:pPr>
      <w:r w:rsidRPr="004F38B7">
        <w:rPr>
          <w:rFonts w:ascii="Candara" w:hAnsi="Candara"/>
        </w:rPr>
        <w:t>Le juge des référés n’est pas compétent pour connaitre la résiliation du contrat de bail, lorsqu’aucun contrat de bail écrit, prévoyant une clause résolutoire de plein droit n’a été produit au dossier.</w:t>
      </w:r>
    </w:p>
    <w:p w14:paraId="59D58EF4" w14:textId="77777777" w:rsidR="00AB3FA0" w:rsidRPr="004F38B7" w:rsidRDefault="00AB3FA0" w:rsidP="003F3F99">
      <w:pPr>
        <w:jc w:val="both"/>
        <w:rPr>
          <w:rFonts w:ascii="Candara" w:hAnsi="Candara"/>
          <w:b/>
          <w:color w:val="00B050"/>
        </w:rPr>
      </w:pPr>
      <w:r w:rsidRPr="004F38B7">
        <w:rPr>
          <w:rFonts w:ascii="Candara" w:hAnsi="Candara"/>
          <w:b/>
          <w:color w:val="00B050"/>
        </w:rPr>
        <w:t>Réf : Tribunal de commerce d'Abidjan, ordonnance No 297/2024 du 23 février 2024, aff. Madame SOUMAHOROAMEDE épse KOUADIO c/ Monsieur YODA ZAKAYA</w:t>
      </w:r>
    </w:p>
    <w:p w14:paraId="7D08B5A9" w14:textId="4F518148" w:rsidR="000B176E" w:rsidRPr="004F38B7" w:rsidRDefault="000B176E" w:rsidP="000F6504">
      <w:pPr>
        <w:jc w:val="both"/>
        <w:rPr>
          <w:rFonts w:ascii="Candara" w:hAnsi="Candara"/>
          <w:b/>
          <w:color w:val="00B050"/>
        </w:rPr>
      </w:pPr>
    </w:p>
    <w:p w14:paraId="04D99741" w14:textId="19B57752" w:rsidR="00810A2B" w:rsidRPr="004F38B7" w:rsidRDefault="00810A2B" w:rsidP="000F6504">
      <w:pPr>
        <w:jc w:val="both"/>
        <w:rPr>
          <w:rFonts w:ascii="Candara" w:hAnsi="Candara"/>
          <w:b/>
          <w:color w:val="00B050"/>
        </w:rPr>
      </w:pPr>
    </w:p>
    <w:p w14:paraId="61AF33D8" w14:textId="77777777" w:rsidR="008E7926" w:rsidRPr="004F38B7" w:rsidRDefault="008E7926" w:rsidP="000F6504">
      <w:pPr>
        <w:jc w:val="both"/>
        <w:rPr>
          <w:rFonts w:ascii="Candara" w:hAnsi="Candara"/>
          <w:b/>
          <w:color w:val="00B050"/>
        </w:rPr>
      </w:pPr>
    </w:p>
    <w:p w14:paraId="61C8F19D" w14:textId="02CD617D" w:rsidR="00810A2B" w:rsidRPr="004F38B7" w:rsidRDefault="00810A2B" w:rsidP="000F6504">
      <w:pPr>
        <w:jc w:val="both"/>
        <w:rPr>
          <w:rFonts w:ascii="Candara" w:hAnsi="Candara"/>
          <w:b/>
          <w:color w:val="00B050"/>
        </w:rPr>
      </w:pPr>
    </w:p>
    <w:p w14:paraId="1C21A6F1" w14:textId="506EDA33" w:rsidR="00975E0F" w:rsidRPr="004F38B7" w:rsidRDefault="00975E0F" w:rsidP="000F6504">
      <w:pPr>
        <w:jc w:val="both"/>
        <w:rPr>
          <w:rFonts w:ascii="Candara" w:hAnsi="Candara"/>
          <w:b/>
          <w:color w:val="00B050"/>
        </w:rPr>
      </w:pPr>
    </w:p>
    <w:p w14:paraId="47B5C007" w14:textId="0775E37A" w:rsidR="006626AC" w:rsidRPr="004F38B7" w:rsidRDefault="006626AC" w:rsidP="000F6504">
      <w:pPr>
        <w:jc w:val="both"/>
        <w:rPr>
          <w:rFonts w:ascii="Candara" w:hAnsi="Candara"/>
          <w:b/>
          <w:color w:val="00B050"/>
        </w:rPr>
      </w:pPr>
    </w:p>
    <w:p w14:paraId="50A481B5" w14:textId="1624FF55" w:rsidR="006626AC" w:rsidRPr="004F38B7" w:rsidRDefault="006626AC" w:rsidP="000F6504">
      <w:pPr>
        <w:jc w:val="both"/>
        <w:rPr>
          <w:rFonts w:ascii="Candara" w:hAnsi="Candara"/>
          <w:b/>
          <w:color w:val="00B050"/>
        </w:rPr>
      </w:pPr>
    </w:p>
    <w:p w14:paraId="1FC800FD" w14:textId="77777777" w:rsidR="00B538C2" w:rsidRPr="004F38B7" w:rsidRDefault="00B538C2" w:rsidP="000F6504">
      <w:pPr>
        <w:jc w:val="both"/>
        <w:rPr>
          <w:rFonts w:ascii="Candara" w:hAnsi="Candara"/>
          <w:b/>
          <w:color w:val="00B050"/>
        </w:rPr>
      </w:pPr>
    </w:p>
    <w:p w14:paraId="62069DDC" w14:textId="6B6B75DD" w:rsidR="00F82475" w:rsidRPr="004F38B7" w:rsidRDefault="00F82475" w:rsidP="000F6504">
      <w:pPr>
        <w:jc w:val="both"/>
        <w:rPr>
          <w:rFonts w:ascii="Candara" w:hAnsi="Candara"/>
          <w:b/>
          <w:color w:val="00B050"/>
        </w:rPr>
      </w:pPr>
    </w:p>
    <w:p w14:paraId="14959B38" w14:textId="4A70779A" w:rsidR="000522E9" w:rsidRPr="004F38B7" w:rsidRDefault="000522E9" w:rsidP="000F6504">
      <w:pPr>
        <w:jc w:val="both"/>
        <w:rPr>
          <w:rFonts w:ascii="Candara" w:hAnsi="Candara"/>
          <w:b/>
          <w:color w:val="00B050"/>
        </w:rPr>
      </w:pPr>
    </w:p>
    <w:p w14:paraId="57A93AFE" w14:textId="77777777" w:rsidR="000522E9" w:rsidRPr="004F38B7" w:rsidRDefault="000522E9" w:rsidP="000F6504">
      <w:pPr>
        <w:jc w:val="both"/>
        <w:rPr>
          <w:rFonts w:ascii="Candara" w:hAnsi="Candara"/>
          <w:b/>
          <w:color w:val="00B050"/>
        </w:rPr>
      </w:pPr>
    </w:p>
    <w:p w14:paraId="47A85AA0" w14:textId="1CC9D197" w:rsidR="00CA0AF6" w:rsidRPr="004F38B7" w:rsidRDefault="00C138D3" w:rsidP="007A4E5A">
      <w:pPr>
        <w:pStyle w:val="Heading1"/>
        <w:jc w:val="both"/>
      </w:pPr>
      <w:bookmarkStart w:id="37" w:name="_Toc190085475"/>
      <w:r w:rsidRPr="004F38B7">
        <w:lastRenderedPageBreak/>
        <w:t xml:space="preserve">DROIT DES </w:t>
      </w:r>
      <w:r w:rsidR="00EC5EA2" w:rsidRPr="004F38B7">
        <w:t>TELECOMMUNICATIONS ET DES FINTECHS</w:t>
      </w:r>
      <w:bookmarkEnd w:id="37"/>
    </w:p>
    <w:p w14:paraId="057A5724" w14:textId="5A65A593" w:rsidR="001D723B" w:rsidRPr="004F38B7" w:rsidRDefault="001D723B" w:rsidP="001D723B">
      <w:pPr>
        <w:rPr>
          <w:rFonts w:ascii="Candara" w:hAnsi="Candara"/>
        </w:rPr>
      </w:pPr>
    </w:p>
    <w:p w14:paraId="088DD10C" w14:textId="77777777" w:rsidR="003F3F99" w:rsidRPr="004F38B7" w:rsidRDefault="003F3F99" w:rsidP="001D723B">
      <w:pPr>
        <w:rPr>
          <w:rFonts w:ascii="Candara" w:hAnsi="Candara"/>
        </w:rPr>
      </w:pPr>
    </w:p>
    <w:p w14:paraId="10D5557A" w14:textId="6FDAE076" w:rsidR="00AB3FA0" w:rsidRPr="004F38B7" w:rsidRDefault="00AB3FA0" w:rsidP="003F3F99">
      <w:pPr>
        <w:pStyle w:val="Heading2"/>
        <w:numPr>
          <w:ilvl w:val="1"/>
          <w:numId w:val="22"/>
        </w:numPr>
        <w:rPr>
          <w:szCs w:val="24"/>
          <w:lang w:val="fr-CA"/>
        </w:rPr>
      </w:pPr>
      <w:bookmarkStart w:id="38" w:name="_Toc189047931"/>
      <w:bookmarkStart w:id="39" w:name="_Toc190085476"/>
      <w:r w:rsidRPr="004F38B7">
        <w:rPr>
          <w:szCs w:val="24"/>
          <w:lang w:val="fr-CA"/>
        </w:rPr>
        <w:t>Suspension d’un média en ligne pour trouble à l’ordre public</w:t>
      </w:r>
      <w:bookmarkEnd w:id="38"/>
      <w:bookmarkEnd w:id="39"/>
    </w:p>
    <w:p w14:paraId="633CD6A6" w14:textId="77777777" w:rsidR="00AB3FA0" w:rsidRPr="004F38B7" w:rsidRDefault="00AB3FA0" w:rsidP="00AB3FA0">
      <w:pPr>
        <w:rPr>
          <w:rFonts w:ascii="Candara" w:hAnsi="Candara"/>
          <w:lang w:val="fr-CA"/>
        </w:rPr>
      </w:pPr>
    </w:p>
    <w:p w14:paraId="30039A63" w14:textId="77777777" w:rsidR="00AB3FA0" w:rsidRPr="004F38B7" w:rsidRDefault="00AB3FA0" w:rsidP="003F3F99">
      <w:pPr>
        <w:jc w:val="both"/>
        <w:rPr>
          <w:rFonts w:ascii="Candara" w:hAnsi="Candara"/>
          <w:lang w:val="fr-CA"/>
        </w:rPr>
      </w:pPr>
      <w:r w:rsidRPr="004F38B7">
        <w:rPr>
          <w:rFonts w:ascii="Candara" w:hAnsi="Candara"/>
          <w:lang w:val="fr-CA"/>
        </w:rPr>
        <w:t xml:space="preserve">Conformément aux articles 100, 104 et 106 de la loi organique L/2010/02/CNT du 22 juin 2010, relative à la liberté de la presse en Guinée la Haute Autorité de la Communication (HAC) a ordonné le 22 janvier 2025, la suspension du site internet </w:t>
      </w:r>
      <w:hyperlink r:id="rId22" w:history="1">
        <w:r w:rsidRPr="004F38B7">
          <w:rPr>
            <w:rStyle w:val="Hyperlink"/>
            <w:rFonts w:ascii="Candara" w:hAnsi="Candara"/>
            <w:lang w:val="fr-CA"/>
          </w:rPr>
          <w:t>www.guineefutur.info</w:t>
        </w:r>
      </w:hyperlink>
      <w:r w:rsidRPr="004F38B7">
        <w:rPr>
          <w:rFonts w:ascii="Candara" w:hAnsi="Candara"/>
          <w:lang w:val="fr-CA"/>
        </w:rPr>
        <w:t xml:space="preserve"> suite à des accusations portées contre le média en ligne, soupçonné d’avoir publié des contenus appelant à des troubles à l’ordre public et à l’insurrection sur l’ensemble du territoire national. </w:t>
      </w:r>
    </w:p>
    <w:p w14:paraId="15469A04" w14:textId="77777777" w:rsidR="00AB3FA0" w:rsidRPr="004F38B7" w:rsidRDefault="00AB3FA0" w:rsidP="003F3F99">
      <w:pPr>
        <w:rPr>
          <w:rFonts w:ascii="Candara" w:hAnsi="Candara"/>
          <w:b/>
          <w:color w:val="00B050"/>
        </w:rPr>
      </w:pPr>
      <w:r w:rsidRPr="004F38B7">
        <w:rPr>
          <w:rFonts w:ascii="Candara" w:hAnsi="Candara"/>
          <w:b/>
          <w:color w:val="00B050"/>
        </w:rPr>
        <w:t xml:space="preserve">Réf : </w:t>
      </w:r>
      <w:hyperlink r:id="rId23" w:history="1">
        <w:r w:rsidRPr="004F38B7">
          <w:rPr>
            <w:rStyle w:val="Hyperlink"/>
            <w:rFonts w:ascii="Candara" w:hAnsi="Candara"/>
            <w:b/>
            <w:color w:val="00B050"/>
          </w:rPr>
          <w:t>https://guineenews.org/guinee-suspension-dun-media-en-ligne-pour-incitation-a-linsurrection-hac/</w:t>
        </w:r>
      </w:hyperlink>
    </w:p>
    <w:p w14:paraId="508F3AF5" w14:textId="77777777" w:rsidR="00AB3FA0" w:rsidRPr="004F38B7" w:rsidRDefault="00AB3FA0" w:rsidP="00AB3FA0">
      <w:pPr>
        <w:jc w:val="both"/>
        <w:rPr>
          <w:rFonts w:ascii="Candara" w:hAnsi="Candara" w:cs="Times New Roman"/>
          <w:lang w:val="fr-CA"/>
        </w:rPr>
      </w:pPr>
    </w:p>
    <w:p w14:paraId="21D5A8FD" w14:textId="2D68EDFB" w:rsidR="00AB3FA0" w:rsidRPr="004F38B7" w:rsidRDefault="00AB3FA0" w:rsidP="003F3F99">
      <w:pPr>
        <w:pStyle w:val="Heading2"/>
        <w:numPr>
          <w:ilvl w:val="1"/>
          <w:numId w:val="22"/>
        </w:numPr>
        <w:rPr>
          <w:lang w:val="fr-CA"/>
        </w:rPr>
      </w:pPr>
      <w:bookmarkStart w:id="40" w:name="_Toc189047932"/>
      <w:bookmarkStart w:id="41" w:name="_Toc190085477"/>
      <w:r w:rsidRPr="004F38B7">
        <w:rPr>
          <w:lang w:val="fr-CA"/>
        </w:rPr>
        <w:t>Lancement de la plateforme de monnaie électronique KULU</w:t>
      </w:r>
      <w:bookmarkEnd w:id="40"/>
      <w:bookmarkEnd w:id="41"/>
    </w:p>
    <w:p w14:paraId="1CC0BF8A" w14:textId="77777777" w:rsidR="00AB3FA0" w:rsidRPr="004F38B7" w:rsidRDefault="00AB3FA0" w:rsidP="00AB3FA0">
      <w:pPr>
        <w:rPr>
          <w:rFonts w:ascii="Candara" w:hAnsi="Candara"/>
          <w:lang w:val="fr-CA"/>
        </w:rPr>
      </w:pPr>
    </w:p>
    <w:p w14:paraId="2980CB81" w14:textId="77777777" w:rsidR="00AB3FA0" w:rsidRPr="004F38B7" w:rsidRDefault="00AB3FA0" w:rsidP="00521FAC">
      <w:pPr>
        <w:jc w:val="both"/>
        <w:rPr>
          <w:rFonts w:ascii="Candara" w:hAnsi="Candara"/>
        </w:rPr>
      </w:pPr>
      <w:r w:rsidRPr="004F38B7">
        <w:rPr>
          <w:rFonts w:ascii="Candara" w:hAnsi="Candara"/>
        </w:rPr>
        <w:t>Dans le cadre de la transformation numérique du pays, la plateforme de paiement électronique Kulu, porté par l’entreprise Digital Wallet Guinée (Diwalgi S.A.) a été officiellement lancée le 24 janvier 2025 en présence de plusieurs personnalités du secteur public et privé.</w:t>
      </w:r>
    </w:p>
    <w:p w14:paraId="68ECC46E" w14:textId="77777777" w:rsidR="003F3F99" w:rsidRPr="004F38B7" w:rsidRDefault="00AB3FA0" w:rsidP="003F3F99">
      <w:pPr>
        <w:rPr>
          <w:rFonts w:ascii="Candara" w:eastAsiaTheme="majorEastAsia" w:hAnsi="Candara" w:cs="Times New Roman"/>
          <w:b/>
          <w:bCs/>
          <w:color w:val="FFFFFF" w:themeColor="background1"/>
          <w:sz w:val="28"/>
          <w:lang w:val="fr-CA"/>
        </w:rPr>
      </w:pPr>
      <w:r w:rsidRPr="004F38B7">
        <w:rPr>
          <w:rFonts w:ascii="Candara" w:hAnsi="Candara"/>
          <w:b/>
          <w:color w:val="00B050"/>
        </w:rPr>
        <w:t xml:space="preserve">Réf : </w:t>
      </w:r>
      <w:hyperlink r:id="rId24" w:history="1">
        <w:r w:rsidRPr="004F38B7">
          <w:rPr>
            <w:rStyle w:val="Hyperlink"/>
            <w:rFonts w:ascii="Candara" w:hAnsi="Candara"/>
            <w:b/>
            <w:color w:val="00B050"/>
          </w:rPr>
          <w:t>https://guineenews.org/guinee-lapplication-kulu-une-revolution-numerique-au-service-de-linclusion-financiere-voit-le-jour/</w:t>
        </w:r>
      </w:hyperlink>
    </w:p>
    <w:p w14:paraId="4D0BDA72" w14:textId="2D7E7F77" w:rsidR="00AB3FA0" w:rsidRPr="004F38B7" w:rsidRDefault="00585366" w:rsidP="003F3F99">
      <w:pPr>
        <w:rPr>
          <w:rFonts w:ascii="Candara" w:eastAsiaTheme="majorEastAsia" w:hAnsi="Candara" w:cs="Times New Roman"/>
          <w:b/>
          <w:bCs/>
          <w:color w:val="FFFFFF" w:themeColor="background1"/>
          <w:sz w:val="28"/>
          <w:lang w:val="fr-CA"/>
        </w:rPr>
      </w:pPr>
      <w:hyperlink r:id="rId25" w:history="1"/>
    </w:p>
    <w:p w14:paraId="0AB947C7" w14:textId="503B8FE4" w:rsidR="00AB3FA0" w:rsidRPr="004F38B7" w:rsidRDefault="00AB3FA0" w:rsidP="003F3F99">
      <w:pPr>
        <w:pStyle w:val="Heading2"/>
        <w:numPr>
          <w:ilvl w:val="1"/>
          <w:numId w:val="22"/>
        </w:numPr>
        <w:rPr>
          <w:szCs w:val="24"/>
          <w:lang w:val="fr-CA"/>
        </w:rPr>
      </w:pPr>
      <w:bookmarkStart w:id="42" w:name="_Toc189668404"/>
      <w:bookmarkStart w:id="43" w:name="_Toc190085478"/>
      <w:r w:rsidRPr="004F38B7">
        <w:rPr>
          <w:szCs w:val="24"/>
          <w:lang w:val="fr-CA"/>
        </w:rPr>
        <w:t>Validation d’un nouveau projet de loi dans le secteur des arts</w:t>
      </w:r>
      <w:bookmarkEnd w:id="42"/>
      <w:bookmarkEnd w:id="43"/>
    </w:p>
    <w:p w14:paraId="010355A5" w14:textId="77777777" w:rsidR="00AB3FA0" w:rsidRPr="004F38B7" w:rsidRDefault="00AB3FA0" w:rsidP="00AB3FA0">
      <w:pPr>
        <w:jc w:val="both"/>
        <w:rPr>
          <w:rFonts w:ascii="Candara" w:hAnsi="Candara"/>
          <w:lang w:val="fr-CA"/>
        </w:rPr>
      </w:pPr>
    </w:p>
    <w:p w14:paraId="77F93ED4" w14:textId="77777777" w:rsidR="00AB3FA0" w:rsidRPr="004F38B7" w:rsidRDefault="00AB3FA0" w:rsidP="00AB3FA0">
      <w:pPr>
        <w:jc w:val="both"/>
        <w:rPr>
          <w:rFonts w:ascii="Candara" w:hAnsi="Candara"/>
          <w:lang w:val="fr-CA"/>
        </w:rPr>
      </w:pPr>
      <w:r w:rsidRPr="004F38B7">
        <w:rPr>
          <w:rFonts w:ascii="Candara" w:hAnsi="Candara"/>
          <w:lang w:val="fr-CA"/>
        </w:rPr>
        <w:t>Le conseil des ministres du 23 janvier 2025 a, validé le projet de loi portant statut de l’artiste et des professionnels de la culture.</w:t>
      </w:r>
    </w:p>
    <w:p w14:paraId="2FEC4B72" w14:textId="77777777" w:rsidR="00AB3FA0" w:rsidRPr="004F38B7" w:rsidRDefault="00AB3FA0" w:rsidP="003F3F99">
      <w:pPr>
        <w:rPr>
          <w:rFonts w:ascii="Candara" w:hAnsi="Candara"/>
          <w:b/>
          <w:color w:val="00B050"/>
        </w:rPr>
      </w:pPr>
      <w:r w:rsidRPr="004F38B7">
        <w:rPr>
          <w:rFonts w:ascii="Candara" w:hAnsi="Candara"/>
          <w:b/>
          <w:color w:val="00B050"/>
        </w:rPr>
        <w:t xml:space="preserve">Réf : </w:t>
      </w:r>
      <w:hyperlink r:id="rId26" w:history="1">
        <w:r w:rsidRPr="004F38B7">
          <w:rPr>
            <w:rStyle w:val="Hyperlink"/>
            <w:rFonts w:ascii="Candara" w:hAnsi="Candara"/>
            <w:b/>
            <w:color w:val="00B050"/>
          </w:rPr>
          <w:t>https://gouvernement.gov.gn/compte-rendu-de-la-session-ordinaire-du-conseil-des-ministres-du-jeudi-23-janvier-2025/</w:t>
        </w:r>
      </w:hyperlink>
      <w:r w:rsidRPr="004F38B7">
        <w:rPr>
          <w:rFonts w:ascii="Candara" w:hAnsi="Candara"/>
          <w:b/>
          <w:color w:val="00B050"/>
        </w:rPr>
        <w:t xml:space="preserve"> (Compte rendu du conseil des ministres du 23 janvier 2025)</w:t>
      </w:r>
    </w:p>
    <w:p w14:paraId="5381B284" w14:textId="1717202B" w:rsidR="006E4C60" w:rsidRPr="004F38B7" w:rsidRDefault="006E4C60" w:rsidP="000F6504">
      <w:pPr>
        <w:jc w:val="both"/>
        <w:rPr>
          <w:rFonts w:ascii="Candara" w:eastAsiaTheme="majorEastAsia" w:hAnsi="Candara" w:cs="Times New Roman"/>
          <w:b/>
          <w:bCs/>
          <w:color w:val="FFFFFF" w:themeColor="background1"/>
          <w:sz w:val="28"/>
          <w:szCs w:val="28"/>
        </w:rPr>
      </w:pPr>
    </w:p>
    <w:p w14:paraId="6D39DD99" w14:textId="5FF71776" w:rsidR="00AB3FA0" w:rsidRPr="004F38B7" w:rsidRDefault="00AB3FA0" w:rsidP="000F6504">
      <w:pPr>
        <w:jc w:val="both"/>
        <w:rPr>
          <w:rFonts w:ascii="Candara" w:eastAsiaTheme="majorEastAsia" w:hAnsi="Candara" w:cs="Times New Roman"/>
          <w:b/>
          <w:bCs/>
          <w:color w:val="FFFFFF" w:themeColor="background1"/>
          <w:sz w:val="28"/>
          <w:szCs w:val="28"/>
        </w:rPr>
      </w:pPr>
    </w:p>
    <w:p w14:paraId="254C04D4" w14:textId="7061EF43" w:rsidR="00AB3FA0" w:rsidRPr="004F38B7" w:rsidRDefault="00AB3FA0" w:rsidP="000F6504">
      <w:pPr>
        <w:jc w:val="both"/>
        <w:rPr>
          <w:rFonts w:ascii="Candara" w:eastAsiaTheme="majorEastAsia" w:hAnsi="Candara" w:cs="Times New Roman"/>
          <w:b/>
          <w:bCs/>
          <w:color w:val="FFFFFF" w:themeColor="background1"/>
          <w:sz w:val="28"/>
          <w:szCs w:val="28"/>
        </w:rPr>
      </w:pPr>
    </w:p>
    <w:p w14:paraId="7824CAA8" w14:textId="180C06E1" w:rsidR="00AB3FA0" w:rsidRPr="004F38B7" w:rsidRDefault="00AB3FA0" w:rsidP="000F6504">
      <w:pPr>
        <w:jc w:val="both"/>
        <w:rPr>
          <w:rFonts w:ascii="Candara" w:eastAsiaTheme="majorEastAsia" w:hAnsi="Candara" w:cs="Times New Roman"/>
          <w:b/>
          <w:bCs/>
          <w:color w:val="FFFFFF" w:themeColor="background1"/>
          <w:sz w:val="28"/>
          <w:szCs w:val="28"/>
        </w:rPr>
      </w:pPr>
    </w:p>
    <w:p w14:paraId="2070B28B" w14:textId="1E7E38F1" w:rsidR="003F3F99" w:rsidRPr="004F38B7" w:rsidRDefault="003F3F99" w:rsidP="000F6504">
      <w:pPr>
        <w:jc w:val="both"/>
        <w:rPr>
          <w:rFonts w:ascii="Candara" w:eastAsiaTheme="majorEastAsia" w:hAnsi="Candara" w:cs="Times New Roman"/>
          <w:b/>
          <w:bCs/>
          <w:color w:val="FFFFFF" w:themeColor="background1"/>
          <w:sz w:val="28"/>
          <w:szCs w:val="28"/>
        </w:rPr>
      </w:pPr>
    </w:p>
    <w:p w14:paraId="6B5B4319" w14:textId="272A1636" w:rsidR="003F3F99" w:rsidRPr="004F38B7" w:rsidRDefault="003F3F99" w:rsidP="000F6504">
      <w:pPr>
        <w:jc w:val="both"/>
        <w:rPr>
          <w:rFonts w:ascii="Candara" w:eastAsiaTheme="majorEastAsia" w:hAnsi="Candara" w:cs="Times New Roman"/>
          <w:b/>
          <w:bCs/>
          <w:color w:val="FFFFFF" w:themeColor="background1"/>
          <w:sz w:val="28"/>
          <w:szCs w:val="28"/>
        </w:rPr>
      </w:pPr>
    </w:p>
    <w:p w14:paraId="14A2E079" w14:textId="77777777" w:rsidR="003F3F99" w:rsidRPr="004F38B7" w:rsidRDefault="003F3F99" w:rsidP="000F6504">
      <w:pPr>
        <w:jc w:val="both"/>
        <w:rPr>
          <w:rFonts w:ascii="Candara" w:eastAsiaTheme="majorEastAsia" w:hAnsi="Candara" w:cs="Times New Roman"/>
          <w:b/>
          <w:bCs/>
          <w:color w:val="FFFFFF" w:themeColor="background1"/>
          <w:sz w:val="28"/>
          <w:szCs w:val="28"/>
        </w:rPr>
      </w:pPr>
    </w:p>
    <w:p w14:paraId="35395CF4" w14:textId="74AFCDDC" w:rsidR="00975E0F" w:rsidRPr="004F38B7" w:rsidRDefault="00975E0F" w:rsidP="000F6504">
      <w:pPr>
        <w:jc w:val="both"/>
        <w:rPr>
          <w:rFonts w:ascii="Candara" w:hAnsi="Candara"/>
        </w:rPr>
      </w:pPr>
    </w:p>
    <w:p w14:paraId="1F692330" w14:textId="65E08FF4" w:rsidR="00485366" w:rsidRPr="004F38B7" w:rsidRDefault="00485366" w:rsidP="000F6504">
      <w:pPr>
        <w:jc w:val="both"/>
        <w:rPr>
          <w:rFonts w:ascii="Candara" w:hAnsi="Candara"/>
        </w:rPr>
      </w:pPr>
    </w:p>
    <w:p w14:paraId="72FF60B3" w14:textId="4A2DA3CB" w:rsidR="009447EE" w:rsidRPr="004F38B7" w:rsidRDefault="009447EE" w:rsidP="000F6504">
      <w:pPr>
        <w:jc w:val="both"/>
        <w:rPr>
          <w:rFonts w:ascii="Candara" w:hAnsi="Candara"/>
        </w:rPr>
      </w:pPr>
    </w:p>
    <w:p w14:paraId="53F18AD2" w14:textId="598A85FC" w:rsidR="009447EE" w:rsidRPr="004F38B7" w:rsidRDefault="009447EE" w:rsidP="000F6504">
      <w:pPr>
        <w:jc w:val="both"/>
        <w:rPr>
          <w:rFonts w:ascii="Candara" w:hAnsi="Candara"/>
        </w:rPr>
      </w:pPr>
    </w:p>
    <w:p w14:paraId="32430072" w14:textId="5EF2571C" w:rsidR="009447EE" w:rsidRPr="004F38B7" w:rsidRDefault="009447EE" w:rsidP="000F6504">
      <w:pPr>
        <w:jc w:val="both"/>
        <w:rPr>
          <w:rFonts w:ascii="Candara" w:hAnsi="Candara"/>
        </w:rPr>
      </w:pPr>
    </w:p>
    <w:p w14:paraId="1204A524" w14:textId="77777777" w:rsidR="009447EE" w:rsidRPr="004F38B7" w:rsidRDefault="009447EE" w:rsidP="000F6504">
      <w:pPr>
        <w:jc w:val="both"/>
        <w:rPr>
          <w:rFonts w:ascii="Candara" w:hAnsi="Candara"/>
        </w:rPr>
      </w:pPr>
    </w:p>
    <w:p w14:paraId="1E349B71" w14:textId="21327DC7" w:rsidR="00EC5EA2" w:rsidRPr="004F38B7" w:rsidRDefault="008E7926" w:rsidP="00092484">
      <w:pPr>
        <w:pStyle w:val="Heading1"/>
        <w:jc w:val="both"/>
      </w:pPr>
      <w:bookmarkStart w:id="44" w:name="_Toc190085479"/>
      <w:r w:rsidRPr="004F38B7">
        <w:lastRenderedPageBreak/>
        <w:t xml:space="preserve">DROIT </w:t>
      </w:r>
      <w:r w:rsidR="00EC5EA2" w:rsidRPr="004F38B7">
        <w:t>FISCAL ET DOUANIER</w:t>
      </w:r>
      <w:bookmarkEnd w:id="44"/>
    </w:p>
    <w:p w14:paraId="1496DB90" w14:textId="15D6D9EB" w:rsidR="007F53CF" w:rsidRPr="004F38B7" w:rsidRDefault="007F53CF" w:rsidP="007A4E5A">
      <w:pPr>
        <w:jc w:val="both"/>
        <w:rPr>
          <w:rFonts w:ascii="Candara" w:hAnsi="Candara"/>
        </w:rPr>
      </w:pPr>
    </w:p>
    <w:p w14:paraId="502D16FF" w14:textId="77777777" w:rsidR="003F3F99" w:rsidRPr="004F38B7" w:rsidRDefault="003F3F99" w:rsidP="00D87FDD">
      <w:pPr>
        <w:jc w:val="both"/>
        <w:rPr>
          <w:rFonts w:ascii="Candara" w:hAnsi="Candara"/>
        </w:rPr>
      </w:pPr>
    </w:p>
    <w:p w14:paraId="2F450E72" w14:textId="71829A20" w:rsidR="00AB3FA0" w:rsidRPr="004F38B7" w:rsidRDefault="00AB3FA0" w:rsidP="003F3F99">
      <w:pPr>
        <w:pStyle w:val="Heading2"/>
        <w:numPr>
          <w:ilvl w:val="1"/>
          <w:numId w:val="23"/>
        </w:numPr>
      </w:pPr>
      <w:bookmarkStart w:id="45" w:name="_Toc189047935"/>
      <w:r w:rsidRPr="004F38B7">
        <w:t xml:space="preserve"> </w:t>
      </w:r>
      <w:bookmarkStart w:id="46" w:name="_Toc190085480"/>
      <w:r w:rsidRPr="004F38B7">
        <w:t>Annonce de la publication de l’arrêté conjoint fixant les redevances</w:t>
      </w:r>
      <w:bookmarkEnd w:id="45"/>
      <w:bookmarkEnd w:id="46"/>
      <w:r w:rsidRPr="004F38B7">
        <w:t xml:space="preserve"> </w:t>
      </w:r>
    </w:p>
    <w:p w14:paraId="6FBC6EC4" w14:textId="77777777" w:rsidR="00AB3FA0" w:rsidRPr="004F38B7" w:rsidRDefault="00AB3FA0" w:rsidP="00AB3FA0">
      <w:pPr>
        <w:rPr>
          <w:rFonts w:ascii="Candara" w:hAnsi="Candara"/>
        </w:rPr>
      </w:pPr>
      <w:r w:rsidRPr="004F38B7">
        <w:rPr>
          <w:rFonts w:ascii="Candara" w:hAnsi="Candara"/>
        </w:rPr>
        <w:t>En conseil de cabinet le 20 janvier 2025 au ministère de la pêche et de l’économie maritime, le secrétaire général du ministère a abordé la signature de l’arrêté conjoint fixant les redevances par les ministres des finances et de la pêche, annonçant que ce texte sera publié dans le journal officiel de la République après enregistrement.</w:t>
      </w:r>
    </w:p>
    <w:p w14:paraId="2DE0073C" w14:textId="4FB76986" w:rsidR="00AB3FA0" w:rsidRPr="004F38B7" w:rsidRDefault="00AB3FA0" w:rsidP="004F38B7">
      <w:pPr>
        <w:rPr>
          <w:rFonts w:ascii="Candara" w:hAnsi="Candara"/>
          <w:b/>
          <w:color w:val="00B050"/>
        </w:rPr>
      </w:pPr>
      <w:r w:rsidRPr="004F38B7">
        <w:rPr>
          <w:rFonts w:ascii="Candara" w:hAnsi="Candara"/>
          <w:b/>
          <w:color w:val="00B050"/>
        </w:rPr>
        <w:t>Réf :</w:t>
      </w:r>
      <w:hyperlink r:id="rId27" w:history="1">
        <w:r w:rsidRPr="004F38B7">
          <w:rPr>
            <w:rStyle w:val="Hyperlink"/>
            <w:rFonts w:ascii="Candara" w:hAnsi="Candara"/>
            <w:b/>
            <w:color w:val="00B050"/>
          </w:rPr>
          <w:t>https://www.facebook.com/pecheguinee/posts/pfbid026cBZR7ytvATvBta3xcpeSaKErww7gozNttcHTaXa47Ht1928BgoLsVnQ4vmywkBrl</w:t>
        </w:r>
      </w:hyperlink>
    </w:p>
    <w:p w14:paraId="4A58091A" w14:textId="77777777" w:rsidR="004F38B7" w:rsidRPr="004F38B7" w:rsidRDefault="004F38B7" w:rsidP="004F38B7">
      <w:pPr>
        <w:rPr>
          <w:rFonts w:ascii="Candara" w:hAnsi="Candara"/>
          <w:b/>
          <w:color w:val="00B050"/>
        </w:rPr>
      </w:pPr>
    </w:p>
    <w:p w14:paraId="06826650" w14:textId="330BD48B" w:rsidR="00AB3FA0" w:rsidRPr="004F38B7" w:rsidRDefault="00AB3FA0" w:rsidP="003F3F99">
      <w:pPr>
        <w:pStyle w:val="Heading2"/>
        <w:numPr>
          <w:ilvl w:val="1"/>
          <w:numId w:val="23"/>
        </w:numPr>
      </w:pPr>
      <w:bookmarkStart w:id="47" w:name="_Toc189047936"/>
      <w:bookmarkStart w:id="48" w:name="_Toc190085481"/>
      <w:r w:rsidRPr="004F38B7">
        <w:t>Report du délai de paiement de l’impôt minimum forfaitaire</w:t>
      </w:r>
      <w:bookmarkEnd w:id="47"/>
      <w:bookmarkEnd w:id="48"/>
      <w:r w:rsidRPr="004F38B7">
        <w:t xml:space="preserve"> </w:t>
      </w:r>
    </w:p>
    <w:p w14:paraId="539BB28D" w14:textId="77777777" w:rsidR="00AB3FA0" w:rsidRPr="004F38B7" w:rsidRDefault="00AB3FA0" w:rsidP="00AB3FA0">
      <w:pPr>
        <w:rPr>
          <w:rFonts w:ascii="Candara" w:hAnsi="Candara"/>
        </w:rPr>
      </w:pPr>
    </w:p>
    <w:p w14:paraId="171D9A80" w14:textId="77777777" w:rsidR="00AB3FA0" w:rsidRPr="004F38B7" w:rsidRDefault="00AB3FA0" w:rsidP="001500EE">
      <w:pPr>
        <w:jc w:val="both"/>
        <w:rPr>
          <w:rFonts w:ascii="Candara" w:hAnsi="Candara"/>
        </w:rPr>
      </w:pPr>
      <w:r w:rsidRPr="004F38B7">
        <w:rPr>
          <w:rFonts w:ascii="Candara" w:hAnsi="Candara"/>
        </w:rPr>
        <w:t>Suite à la demande de la Confédération Générale des Entreprises de Guinée (CGE-GUI), relative au report du délai de paiement de l’impôt minimum forfaitaire (IMF) 2025, la directrice nationale par intérim des impôts a annoncé l’octroi d’un moratoire de deux mois débutant le 22 janvier 2025, pour permettre aux entreprises de régulariser leur situation fiscale concernant l’IMF 2025.</w:t>
      </w:r>
    </w:p>
    <w:p w14:paraId="65BCDAB8" w14:textId="525B35C8" w:rsidR="00AB3FA0" w:rsidRPr="004F38B7" w:rsidRDefault="00AB3FA0" w:rsidP="001500EE">
      <w:pPr>
        <w:rPr>
          <w:rFonts w:ascii="Candara" w:hAnsi="Candara"/>
          <w:b/>
          <w:color w:val="00B050"/>
        </w:rPr>
      </w:pPr>
      <w:r w:rsidRPr="004F38B7">
        <w:rPr>
          <w:rFonts w:ascii="Candara" w:hAnsi="Candara"/>
          <w:b/>
          <w:color w:val="00B050"/>
        </w:rPr>
        <w:t xml:space="preserve">Réf : </w:t>
      </w:r>
      <w:hyperlink r:id="rId28" w:history="1">
        <w:r w:rsidRPr="004F38B7">
          <w:rPr>
            <w:rStyle w:val="Hyperlink"/>
            <w:rFonts w:ascii="Candara" w:hAnsi="Candara"/>
            <w:b/>
            <w:color w:val="00B050"/>
          </w:rPr>
          <w:t>https://guineenews.org/fiscs-un-moratoire-de-deux-mois-accorde-aux-entreprises-pour-le-paiement-de-limef-2025-impots/</w:t>
        </w:r>
      </w:hyperlink>
    </w:p>
    <w:p w14:paraId="102B0D81" w14:textId="77777777" w:rsidR="001500EE" w:rsidRPr="004F38B7" w:rsidRDefault="001500EE" w:rsidP="001500EE">
      <w:pPr>
        <w:rPr>
          <w:rFonts w:ascii="Candara" w:hAnsi="Candara"/>
          <w:b/>
          <w:color w:val="00B050"/>
        </w:rPr>
      </w:pPr>
    </w:p>
    <w:p w14:paraId="5F9F918C" w14:textId="4D0C1485" w:rsidR="00AB3FA0" w:rsidRPr="004F38B7" w:rsidRDefault="00AB3FA0" w:rsidP="003F3F99">
      <w:pPr>
        <w:pStyle w:val="Heading2"/>
        <w:numPr>
          <w:ilvl w:val="1"/>
          <w:numId w:val="23"/>
        </w:numPr>
      </w:pPr>
      <w:bookmarkStart w:id="49" w:name="_Toc189668409"/>
      <w:bookmarkStart w:id="50" w:name="_Toc190085482"/>
      <w:r w:rsidRPr="004F38B7">
        <w:t>Appel au réexamen des mesures fiscales non conformes aux codes miniers et des investissements.</w:t>
      </w:r>
      <w:bookmarkEnd w:id="49"/>
      <w:bookmarkEnd w:id="50"/>
    </w:p>
    <w:p w14:paraId="297DC59C" w14:textId="77777777" w:rsidR="001500EE" w:rsidRPr="004F38B7" w:rsidRDefault="001500EE" w:rsidP="00AB3FA0">
      <w:pPr>
        <w:rPr>
          <w:rFonts w:ascii="Candara" w:hAnsi="Candara"/>
        </w:rPr>
      </w:pPr>
    </w:p>
    <w:p w14:paraId="0D2E427B" w14:textId="637C0FFA" w:rsidR="00AB3FA0" w:rsidRPr="004F38B7" w:rsidRDefault="00AB3FA0" w:rsidP="004F38B7">
      <w:pPr>
        <w:jc w:val="both"/>
        <w:rPr>
          <w:rFonts w:ascii="Candara" w:hAnsi="Candara"/>
        </w:rPr>
      </w:pPr>
      <w:r w:rsidRPr="004F38B7">
        <w:rPr>
          <w:rFonts w:ascii="Candara" w:hAnsi="Candara"/>
        </w:rPr>
        <w:t>Un atelier de validation du rapport d’évaluation des dépenses fiscales s’est tenu le 29 janvier 2025, au cours duquel, ledit rapport d’évaluation a été présenté. Le rapport préconise, la révision ou la suppression des mesures fiscales ne respectant pas les dispositions des codes miniers et des investissements.</w:t>
      </w:r>
    </w:p>
    <w:p w14:paraId="42B90E13" w14:textId="77777777" w:rsidR="00AB3FA0" w:rsidRPr="004F38B7" w:rsidRDefault="00AB3FA0" w:rsidP="001500EE">
      <w:pPr>
        <w:rPr>
          <w:rFonts w:ascii="Candara" w:hAnsi="Candara"/>
          <w:b/>
          <w:color w:val="00B050"/>
        </w:rPr>
      </w:pPr>
      <w:r w:rsidRPr="004F38B7">
        <w:rPr>
          <w:rFonts w:ascii="Candara" w:hAnsi="Candara"/>
          <w:b/>
          <w:color w:val="00B050"/>
        </w:rPr>
        <w:t xml:space="preserve">Réf : </w:t>
      </w:r>
      <w:hyperlink r:id="rId29" w:history="1">
        <w:r w:rsidRPr="004F38B7">
          <w:rPr>
            <w:rStyle w:val="Hyperlink"/>
            <w:rFonts w:ascii="Candara" w:hAnsi="Candara"/>
            <w:b/>
            <w:color w:val="00B050"/>
          </w:rPr>
          <w:t>https://convergencegn.com/2025/01/30/guinee-vers-la-revision-des-mesures-fiscales-ne-respectant-pas-les-dispositions-des-codes-minier-et-des-investissements/</w:t>
        </w:r>
      </w:hyperlink>
    </w:p>
    <w:p w14:paraId="75DEE549" w14:textId="77777777" w:rsidR="00CC2B4A" w:rsidRPr="004F38B7" w:rsidRDefault="00CC2B4A" w:rsidP="00CC2B4A">
      <w:pPr>
        <w:ind w:left="-207"/>
        <w:rPr>
          <w:rFonts w:ascii="Candara" w:hAnsi="Candara" w:cs="Times New Roman"/>
          <w:sz w:val="32"/>
        </w:rPr>
      </w:pPr>
    </w:p>
    <w:p w14:paraId="1B23CA40" w14:textId="3DF37951" w:rsidR="00FA2ED7" w:rsidRPr="004F38B7" w:rsidRDefault="00FA2ED7" w:rsidP="000F6504">
      <w:pPr>
        <w:jc w:val="both"/>
        <w:rPr>
          <w:rFonts w:ascii="Candara" w:hAnsi="Candara"/>
          <w:b/>
          <w:color w:val="00B050"/>
        </w:rPr>
      </w:pPr>
    </w:p>
    <w:p w14:paraId="440C23C2" w14:textId="20C4B1DB" w:rsidR="00FA2ED7" w:rsidRPr="004F38B7" w:rsidRDefault="00FA2ED7" w:rsidP="000F6504">
      <w:pPr>
        <w:jc w:val="both"/>
        <w:rPr>
          <w:rFonts w:ascii="Candara" w:hAnsi="Candara"/>
          <w:b/>
          <w:color w:val="00B050"/>
        </w:rPr>
      </w:pPr>
    </w:p>
    <w:p w14:paraId="34E7D302" w14:textId="7D705326" w:rsidR="00FA2ED7" w:rsidRPr="004F38B7" w:rsidRDefault="00FA2ED7" w:rsidP="000F6504">
      <w:pPr>
        <w:jc w:val="both"/>
        <w:rPr>
          <w:rFonts w:ascii="Candara" w:hAnsi="Candara"/>
          <w:b/>
          <w:color w:val="00B050"/>
        </w:rPr>
      </w:pPr>
    </w:p>
    <w:p w14:paraId="482AE2A2" w14:textId="1F265AA8" w:rsidR="009142C4" w:rsidRPr="004F38B7" w:rsidRDefault="009142C4" w:rsidP="000F6504">
      <w:pPr>
        <w:jc w:val="both"/>
        <w:rPr>
          <w:rFonts w:ascii="Candara" w:hAnsi="Candara"/>
        </w:rPr>
      </w:pPr>
    </w:p>
    <w:p w14:paraId="1D70B08E" w14:textId="0732030B" w:rsidR="004C2C8B" w:rsidRPr="004F38B7" w:rsidRDefault="004C2C8B" w:rsidP="000F6504">
      <w:pPr>
        <w:jc w:val="both"/>
        <w:rPr>
          <w:rFonts w:ascii="Candara" w:hAnsi="Candara"/>
        </w:rPr>
      </w:pPr>
    </w:p>
    <w:p w14:paraId="24AB6D1A" w14:textId="5F854972" w:rsidR="004C2C8B" w:rsidRPr="004F38B7" w:rsidRDefault="004C2C8B" w:rsidP="000F6504">
      <w:pPr>
        <w:jc w:val="both"/>
        <w:rPr>
          <w:rFonts w:ascii="Candara" w:hAnsi="Candara"/>
        </w:rPr>
      </w:pPr>
    </w:p>
    <w:p w14:paraId="175F93CD" w14:textId="48B5DCD7" w:rsidR="004C2C8B" w:rsidRPr="004F38B7" w:rsidRDefault="004C2C8B" w:rsidP="000F6504">
      <w:pPr>
        <w:jc w:val="both"/>
        <w:rPr>
          <w:rFonts w:ascii="Candara" w:hAnsi="Candara"/>
        </w:rPr>
      </w:pPr>
    </w:p>
    <w:p w14:paraId="03E5F4E2" w14:textId="27F02E3C" w:rsidR="004C2C8B" w:rsidRPr="004F38B7" w:rsidRDefault="004C2C8B" w:rsidP="000F6504">
      <w:pPr>
        <w:jc w:val="both"/>
        <w:rPr>
          <w:rFonts w:ascii="Candara" w:hAnsi="Candara"/>
        </w:rPr>
      </w:pPr>
    </w:p>
    <w:p w14:paraId="442A8D1D" w14:textId="77777777" w:rsidR="004C2C8B" w:rsidRPr="004F38B7" w:rsidRDefault="004C2C8B" w:rsidP="000F6504">
      <w:pPr>
        <w:jc w:val="both"/>
        <w:rPr>
          <w:rFonts w:ascii="Candara" w:hAnsi="Candara"/>
        </w:rPr>
      </w:pPr>
    </w:p>
    <w:p w14:paraId="4CD5CFE4" w14:textId="41954C59" w:rsidR="00EC6362" w:rsidRPr="004F38B7" w:rsidRDefault="00EC6362" w:rsidP="000F6504">
      <w:pPr>
        <w:jc w:val="both"/>
        <w:rPr>
          <w:rFonts w:ascii="Candara" w:hAnsi="Candara"/>
        </w:rPr>
      </w:pPr>
    </w:p>
    <w:p w14:paraId="179EC91A" w14:textId="77777777" w:rsidR="00EC6362" w:rsidRPr="004F38B7" w:rsidRDefault="00EC6362" w:rsidP="000F6504">
      <w:pPr>
        <w:jc w:val="both"/>
        <w:rPr>
          <w:rFonts w:ascii="Candara" w:hAnsi="Candara"/>
        </w:rPr>
      </w:pPr>
    </w:p>
    <w:p w14:paraId="52F47A7E" w14:textId="2A261848" w:rsidR="00D65868" w:rsidRDefault="00D65868" w:rsidP="000F6504">
      <w:pPr>
        <w:jc w:val="both"/>
        <w:rPr>
          <w:rFonts w:ascii="Candara" w:hAnsi="Candara"/>
        </w:rPr>
      </w:pPr>
    </w:p>
    <w:p w14:paraId="127E5A46" w14:textId="1459FA49" w:rsidR="003D25FE" w:rsidRDefault="003D25FE" w:rsidP="000F6504">
      <w:pPr>
        <w:jc w:val="both"/>
        <w:rPr>
          <w:rFonts w:ascii="Candara" w:hAnsi="Candara"/>
        </w:rPr>
      </w:pPr>
    </w:p>
    <w:p w14:paraId="5AE3879A" w14:textId="77777777" w:rsidR="003D25FE" w:rsidRPr="004F38B7" w:rsidRDefault="003D25FE" w:rsidP="000F6504">
      <w:pPr>
        <w:jc w:val="both"/>
        <w:rPr>
          <w:rFonts w:ascii="Candara" w:hAnsi="Candara"/>
        </w:rPr>
      </w:pPr>
    </w:p>
    <w:p w14:paraId="73ADB5A1" w14:textId="77777777" w:rsidR="00E51036" w:rsidRPr="004F38B7" w:rsidRDefault="00E51036" w:rsidP="000F6504">
      <w:pPr>
        <w:jc w:val="both"/>
        <w:rPr>
          <w:rFonts w:ascii="Candara" w:hAnsi="Candara"/>
        </w:rPr>
      </w:pPr>
    </w:p>
    <w:p w14:paraId="462F104C" w14:textId="321BF308" w:rsidR="00C138D3" w:rsidRPr="004F38B7" w:rsidRDefault="00C138D3" w:rsidP="00F72297">
      <w:pPr>
        <w:shd w:val="clear" w:color="auto" w:fill="00B050"/>
        <w:jc w:val="center"/>
        <w:rPr>
          <w:rFonts w:ascii="Candara" w:hAnsi="Candara"/>
          <w:b/>
          <w:color w:val="FFFFFF" w:themeColor="background1"/>
          <w:sz w:val="28"/>
          <w:szCs w:val="28"/>
        </w:rPr>
      </w:pPr>
      <w:r w:rsidRPr="004F38B7">
        <w:rPr>
          <w:rFonts w:ascii="Candara" w:hAnsi="Candara"/>
          <w:b/>
          <w:color w:val="FFFFFF" w:themeColor="background1"/>
          <w:sz w:val="28"/>
          <w:szCs w:val="28"/>
        </w:rPr>
        <w:t>Besoin d’un conseil ? Merci de nous contacter :</w:t>
      </w:r>
    </w:p>
    <w:p w14:paraId="6AB4E3BB" w14:textId="231E0D5A" w:rsidR="00147317" w:rsidRPr="004F38B7" w:rsidRDefault="003D25FE" w:rsidP="000F6504">
      <w:pPr>
        <w:jc w:val="both"/>
        <w:rPr>
          <w:rFonts w:ascii="Candara" w:hAnsi="Candara"/>
          <w:b/>
          <w:sz w:val="28"/>
          <w:szCs w:val="28"/>
        </w:rPr>
      </w:pPr>
      <w:r w:rsidRPr="004F38B7">
        <w:rPr>
          <w:rFonts w:ascii="Candara" w:hAnsi="Candara"/>
          <w:lang w:val="en-US"/>
        </w:rPr>
        <w:drawing>
          <wp:anchor distT="0" distB="0" distL="114300" distR="114300" simplePos="0" relativeHeight="251662336" behindDoc="0" locked="0" layoutInCell="1" allowOverlap="1" wp14:anchorId="165977C5" wp14:editId="32DCEEFF">
            <wp:simplePos x="0" y="0"/>
            <wp:positionH relativeFrom="margin">
              <wp:posOffset>233045</wp:posOffset>
            </wp:positionH>
            <wp:positionV relativeFrom="margin">
              <wp:posOffset>931545</wp:posOffset>
            </wp:positionV>
            <wp:extent cx="1254760" cy="1692275"/>
            <wp:effectExtent l="0" t="0" r="254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254760" cy="1692275"/>
                    </a:xfrm>
                    <a:prstGeom prst="rect">
                      <a:avLst/>
                    </a:prstGeom>
                  </pic:spPr>
                </pic:pic>
              </a:graphicData>
            </a:graphic>
            <wp14:sizeRelH relativeFrom="margin">
              <wp14:pctWidth>0</wp14:pctWidth>
            </wp14:sizeRelH>
            <wp14:sizeRelV relativeFrom="margin">
              <wp14:pctHeight>0</wp14:pctHeight>
            </wp14:sizeRelV>
          </wp:anchor>
        </w:drawing>
      </w:r>
    </w:p>
    <w:p w14:paraId="16911F36" w14:textId="526C62FB" w:rsidR="00C138D3" w:rsidRPr="004F38B7" w:rsidRDefault="00C138D3" w:rsidP="00C84D24">
      <w:pPr>
        <w:pStyle w:val="ListParagraph"/>
        <w:spacing w:line="360" w:lineRule="auto"/>
        <w:rPr>
          <w:rFonts w:ascii="Candara" w:hAnsi="Candara"/>
          <w:b/>
          <w:sz w:val="28"/>
          <w:szCs w:val="28"/>
        </w:rPr>
      </w:pPr>
      <w:r w:rsidRPr="004F38B7">
        <w:rPr>
          <w:rFonts w:ascii="Candara" w:hAnsi="Candara"/>
          <w:b/>
          <w:sz w:val="28"/>
          <w:szCs w:val="28"/>
        </w:rPr>
        <w:t>Me Hamidou Dramé</w:t>
      </w:r>
      <w:r w:rsidR="00EC5EA2" w:rsidRPr="004F38B7">
        <w:rPr>
          <w:rFonts w:ascii="Candara" w:hAnsi="Candara"/>
          <w:b/>
          <w:sz w:val="28"/>
          <w:szCs w:val="28"/>
        </w:rPr>
        <w:br/>
        <w:t>Avocat associé, Membre des Barreaux de Guinée et de Lyon (France)</w:t>
      </w:r>
    </w:p>
    <w:p w14:paraId="586707CC" w14:textId="0BD6EB96" w:rsidR="00C138D3" w:rsidRPr="004F38B7" w:rsidRDefault="00C138D3" w:rsidP="00C84D24">
      <w:pPr>
        <w:spacing w:line="360" w:lineRule="auto"/>
        <w:rPr>
          <w:rFonts w:ascii="Candara" w:hAnsi="Candara"/>
          <w:b/>
          <w:sz w:val="28"/>
          <w:szCs w:val="28"/>
          <w:lang w:val="en-US"/>
        </w:rPr>
      </w:pPr>
      <w:r w:rsidRPr="004F38B7">
        <w:rPr>
          <w:rFonts w:ascii="Candara" w:hAnsi="Candara"/>
          <w:b/>
          <w:sz w:val="28"/>
          <w:szCs w:val="28"/>
          <w:lang w:val="en-US"/>
        </w:rPr>
        <w:t>Email : hdrame@guilex-avocats.com</w:t>
      </w:r>
    </w:p>
    <w:p w14:paraId="03A30B42" w14:textId="50330D7A" w:rsidR="00C138D3" w:rsidRPr="004F38B7" w:rsidRDefault="00C138D3" w:rsidP="000F6504">
      <w:pPr>
        <w:spacing w:line="360" w:lineRule="auto"/>
        <w:jc w:val="both"/>
        <w:rPr>
          <w:rFonts w:ascii="Candara" w:hAnsi="Candara"/>
          <w:b/>
          <w:sz w:val="28"/>
          <w:szCs w:val="28"/>
          <w:lang w:val="en-US"/>
        </w:rPr>
      </w:pPr>
      <w:r w:rsidRPr="004F38B7">
        <w:rPr>
          <w:rFonts w:ascii="Candara" w:hAnsi="Candara"/>
          <w:b/>
          <w:sz w:val="28"/>
          <w:szCs w:val="28"/>
          <w:lang w:val="en-US"/>
        </w:rPr>
        <w:t>Tél : +224 628 03 54 13</w:t>
      </w:r>
    </w:p>
    <w:p w14:paraId="772F57D5" w14:textId="0ED95F31" w:rsidR="001660EC" w:rsidRPr="004F38B7" w:rsidRDefault="001660EC" w:rsidP="000F6504">
      <w:pPr>
        <w:jc w:val="both"/>
        <w:rPr>
          <w:rFonts w:ascii="Candara" w:hAnsi="Candara"/>
          <w:sz w:val="28"/>
          <w:szCs w:val="28"/>
          <w:lang w:val="en-US"/>
        </w:rPr>
      </w:pPr>
    </w:p>
    <w:p w14:paraId="7C590EDC" w14:textId="77777777" w:rsidR="00D44537" w:rsidRPr="004F38B7" w:rsidRDefault="00D44537" w:rsidP="000F6504">
      <w:pPr>
        <w:jc w:val="both"/>
        <w:rPr>
          <w:rFonts w:ascii="Candara" w:hAnsi="Candara"/>
          <w:sz w:val="28"/>
          <w:szCs w:val="28"/>
          <w:lang w:val="en-US"/>
        </w:rPr>
      </w:pPr>
    </w:p>
    <w:p w14:paraId="3BF0F109" w14:textId="01F661CD" w:rsidR="00C138D3" w:rsidRPr="004F38B7" w:rsidRDefault="00C138D3" w:rsidP="00A95076">
      <w:pPr>
        <w:shd w:val="clear" w:color="auto" w:fill="00B050"/>
        <w:jc w:val="center"/>
        <w:rPr>
          <w:rFonts w:ascii="Candara" w:hAnsi="Candara"/>
          <w:b/>
          <w:color w:val="FFFFFF" w:themeColor="background1"/>
          <w:sz w:val="32"/>
          <w:szCs w:val="32"/>
          <w:lang w:val="en-US"/>
        </w:rPr>
      </w:pPr>
      <w:r w:rsidRPr="004F38B7">
        <w:rPr>
          <w:rFonts w:ascii="Candara" w:hAnsi="Candara"/>
          <w:b/>
          <w:color w:val="FFFFFF" w:themeColor="background1"/>
          <w:sz w:val="32"/>
          <w:szCs w:val="32"/>
          <w:lang w:val="en-US"/>
        </w:rPr>
        <w:t>Guilex Avocats :</w:t>
      </w:r>
    </w:p>
    <w:p w14:paraId="39805E3E" w14:textId="77C9C42F" w:rsidR="00C138D3" w:rsidRPr="004F38B7" w:rsidRDefault="00C138D3" w:rsidP="000F6504">
      <w:pPr>
        <w:jc w:val="both"/>
        <w:rPr>
          <w:rFonts w:ascii="Candara" w:hAnsi="Candara"/>
          <w:sz w:val="28"/>
          <w:szCs w:val="28"/>
          <w:lang w:val="en-US"/>
        </w:rPr>
      </w:pPr>
    </w:p>
    <w:p w14:paraId="58A9E471" w14:textId="3D679C3A" w:rsidR="00B925EA" w:rsidRDefault="00C138D3" w:rsidP="00C84D24">
      <w:pPr>
        <w:spacing w:line="360" w:lineRule="auto"/>
        <w:jc w:val="both"/>
        <w:rPr>
          <w:rFonts w:ascii="Candara" w:hAnsi="Candara"/>
          <w:sz w:val="28"/>
          <w:szCs w:val="28"/>
        </w:rPr>
      </w:pPr>
      <w:r w:rsidRPr="004F38B7">
        <w:rPr>
          <w:rFonts w:ascii="Candara" w:hAnsi="Candara"/>
          <w:sz w:val="28"/>
          <w:szCs w:val="28"/>
        </w:rPr>
        <w:t>Guilex Avocats est un cabinet d’avocats basé à Conakry, Guinée à dimension panafricaine. Nous conseillons en français et en anglais des clients dans tous les domaines liés au droit des affaires et contentieux qui s’y rattachent avec un focus sur les secteurs des mines, de l’énergie, de la banque-finance, des partenariats public-privé et des télécommunications.</w:t>
      </w:r>
    </w:p>
    <w:p w14:paraId="4AE13483" w14:textId="77777777" w:rsidR="003D25FE" w:rsidRPr="004F38B7" w:rsidRDefault="003D25FE" w:rsidP="00C84D24">
      <w:pPr>
        <w:spacing w:line="360" w:lineRule="auto"/>
        <w:jc w:val="both"/>
        <w:rPr>
          <w:rFonts w:ascii="Candara" w:hAnsi="Candara"/>
          <w:sz w:val="28"/>
          <w:szCs w:val="28"/>
        </w:rPr>
      </w:pPr>
    </w:p>
    <w:p w14:paraId="16AF4049" w14:textId="43A23159" w:rsidR="00275ECE" w:rsidRPr="004F38B7" w:rsidRDefault="00275ECE" w:rsidP="000F6504">
      <w:pPr>
        <w:spacing w:line="360" w:lineRule="auto"/>
        <w:jc w:val="both"/>
        <w:rPr>
          <w:rFonts w:ascii="Candara" w:hAnsi="Candara"/>
          <w:sz w:val="28"/>
          <w:szCs w:val="28"/>
        </w:rPr>
      </w:pPr>
      <w:bookmarkStart w:id="51" w:name="_GoBack"/>
      <w:bookmarkEnd w:id="51"/>
    </w:p>
    <w:p w14:paraId="5DAA9534" w14:textId="3CA85E75" w:rsidR="00C138D3" w:rsidRPr="004F38B7" w:rsidRDefault="003D25FE" w:rsidP="00463BD2">
      <w:pPr>
        <w:spacing w:line="360" w:lineRule="auto"/>
        <w:jc w:val="center"/>
        <w:rPr>
          <w:rFonts w:ascii="Candara" w:hAnsi="Candara"/>
          <w:b/>
          <w:sz w:val="28"/>
          <w:szCs w:val="28"/>
        </w:rPr>
      </w:pPr>
      <w:r w:rsidRPr="004F38B7">
        <w:rPr>
          <w:rFonts w:ascii="Candara" w:hAnsi="Candara"/>
          <w:b/>
          <w:sz w:val="44"/>
          <w:szCs w:val="44"/>
          <w:lang w:val="en-US"/>
        </w:rPr>
        <w:drawing>
          <wp:anchor distT="0" distB="0" distL="114300" distR="114300" simplePos="0" relativeHeight="251659264" behindDoc="0" locked="0" layoutInCell="1" allowOverlap="1" wp14:anchorId="18ED3487" wp14:editId="3D87421B">
            <wp:simplePos x="0" y="0"/>
            <wp:positionH relativeFrom="margin">
              <wp:posOffset>330835</wp:posOffset>
            </wp:positionH>
            <wp:positionV relativeFrom="margin">
              <wp:posOffset>5515751</wp:posOffset>
            </wp:positionV>
            <wp:extent cx="1663065" cy="1663065"/>
            <wp:effectExtent l="0" t="0" r="635" b="635"/>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alphaModFix/>
                      <a:extLst>
                        <a:ext uri="{28A0092B-C50C-407E-A947-70E740481C1C}">
                          <a14:useLocalDpi xmlns:a14="http://schemas.microsoft.com/office/drawing/2010/main" val="0"/>
                        </a:ext>
                      </a:extLst>
                    </a:blip>
                    <a:srcRect/>
                    <a:stretch>
                      <a:fillRect/>
                    </a:stretch>
                  </pic:blipFill>
                  <pic:spPr bwMode="auto">
                    <a:xfrm>
                      <a:off x="0" y="0"/>
                      <a:ext cx="1663065" cy="1663065"/>
                    </a:xfrm>
                    <a:prstGeom prst="rect">
                      <a:avLst/>
                    </a:prstGeom>
                    <a:noFill/>
                  </pic:spPr>
                </pic:pic>
              </a:graphicData>
            </a:graphic>
            <wp14:sizeRelH relativeFrom="margin">
              <wp14:pctWidth>0</wp14:pctWidth>
            </wp14:sizeRelH>
            <wp14:sizeRelV relativeFrom="margin">
              <wp14:pctHeight>0</wp14:pctHeight>
            </wp14:sizeRelV>
          </wp:anchor>
        </w:drawing>
      </w:r>
      <w:r w:rsidR="00C138D3" w:rsidRPr="004F38B7">
        <w:rPr>
          <w:rFonts w:ascii="Candara" w:hAnsi="Candara"/>
          <w:b/>
          <w:sz w:val="28"/>
          <w:szCs w:val="28"/>
        </w:rPr>
        <w:t xml:space="preserve">Kipé </w:t>
      </w:r>
      <w:r w:rsidR="00463BD2">
        <w:rPr>
          <w:rFonts w:ascii="Candara" w:hAnsi="Candara"/>
          <w:b/>
          <w:sz w:val="28"/>
          <w:szCs w:val="28"/>
        </w:rPr>
        <w:t xml:space="preserve">Metal Guinée </w:t>
      </w:r>
      <w:r w:rsidR="00C138D3" w:rsidRPr="004F38B7">
        <w:rPr>
          <w:rFonts w:ascii="Candara" w:hAnsi="Candara"/>
          <w:b/>
          <w:sz w:val="28"/>
          <w:szCs w:val="28"/>
        </w:rPr>
        <w:t>,</w:t>
      </w:r>
      <w:r w:rsidR="006E5BEB" w:rsidRPr="004F38B7">
        <w:rPr>
          <w:rFonts w:ascii="Candara" w:hAnsi="Candara"/>
          <w:b/>
          <w:sz w:val="28"/>
          <w:szCs w:val="28"/>
        </w:rPr>
        <w:t xml:space="preserve"> </w:t>
      </w:r>
      <w:r w:rsidR="00C138D3" w:rsidRPr="004F38B7">
        <w:rPr>
          <w:rFonts w:ascii="Candara" w:hAnsi="Candara"/>
          <w:b/>
          <w:sz w:val="28"/>
          <w:szCs w:val="28"/>
        </w:rPr>
        <w:t>Comm</w:t>
      </w:r>
      <w:r w:rsidR="006E5BEB" w:rsidRPr="004F38B7">
        <w:rPr>
          <w:rFonts w:ascii="Candara" w:hAnsi="Candara"/>
          <w:b/>
          <w:sz w:val="28"/>
          <w:szCs w:val="28"/>
        </w:rPr>
        <w:t>une de Ratoma, Conakry, Guinée</w:t>
      </w:r>
      <w:r w:rsidR="00C84D24" w:rsidRPr="004F38B7">
        <w:rPr>
          <w:rFonts w:ascii="Candara" w:hAnsi="Candara"/>
          <w:b/>
          <w:sz w:val="28"/>
          <w:szCs w:val="28"/>
        </w:rPr>
        <w:t xml:space="preserve"> </w:t>
      </w:r>
      <w:r w:rsidR="00C138D3" w:rsidRPr="004F38B7">
        <w:rPr>
          <w:rFonts w:ascii="Candara" w:hAnsi="Candara"/>
          <w:b/>
          <w:sz w:val="28"/>
          <w:szCs w:val="28"/>
        </w:rPr>
        <w:t>+224 628 03 54 13 / 624 08 08 08</w:t>
      </w:r>
      <w:r w:rsidR="00C84D24" w:rsidRPr="004F38B7">
        <w:rPr>
          <w:rFonts w:ascii="Candara" w:hAnsi="Candara"/>
          <w:b/>
          <w:sz w:val="28"/>
          <w:szCs w:val="28"/>
        </w:rPr>
        <w:t xml:space="preserve"> </w:t>
      </w:r>
      <w:hyperlink r:id="rId32" w:history="1">
        <w:r w:rsidR="00C84D24" w:rsidRPr="004F38B7">
          <w:rPr>
            <w:rStyle w:val="Hyperlink"/>
            <w:rFonts w:ascii="Candara" w:hAnsi="Candara"/>
            <w:b/>
            <w:sz w:val="28"/>
            <w:szCs w:val="28"/>
          </w:rPr>
          <w:t>contact@guilex-avocats.com</w:t>
        </w:r>
      </w:hyperlink>
      <w:r w:rsidR="00C84D24" w:rsidRPr="004F38B7">
        <w:rPr>
          <w:rFonts w:ascii="Candara" w:hAnsi="Candara"/>
          <w:b/>
          <w:sz w:val="28"/>
          <w:szCs w:val="28"/>
        </w:rPr>
        <w:t xml:space="preserve"> </w:t>
      </w:r>
      <w:r>
        <w:rPr>
          <w:rFonts w:ascii="Candara" w:hAnsi="Candara"/>
          <w:b/>
          <w:sz w:val="28"/>
          <w:szCs w:val="28"/>
        </w:rPr>
        <w:br/>
      </w:r>
      <w:r w:rsidR="00C138D3" w:rsidRPr="004F38B7">
        <w:rPr>
          <w:rFonts w:ascii="Candara" w:hAnsi="Candara"/>
          <w:b/>
          <w:sz w:val="28"/>
          <w:szCs w:val="28"/>
        </w:rPr>
        <w:t>www.guilex-avocats.co</w:t>
      </w:r>
      <w:r w:rsidR="00BD51F5" w:rsidRPr="004F38B7">
        <w:rPr>
          <w:rFonts w:ascii="Candara" w:hAnsi="Candara"/>
          <w:b/>
          <w:sz w:val="28"/>
          <w:szCs w:val="28"/>
        </w:rPr>
        <w:t>m</w:t>
      </w:r>
    </w:p>
    <w:sectPr w:rsidR="00C138D3" w:rsidRPr="004F38B7" w:rsidSect="00993889">
      <w:headerReference w:type="even" r:id="rId33"/>
      <w:headerReference w:type="default" r:id="rId34"/>
      <w:footerReference w:type="even" r:id="rId35"/>
      <w:footerReference w:type="default" r:id="rId36"/>
      <w:headerReference w:type="first" r:id="rId37"/>
      <w:footerReference w:type="first" r:id="rId38"/>
      <w:pgSz w:w="12240" w:h="15840"/>
      <w:pgMar w:top="981" w:right="1440" w:bottom="693" w:left="1440" w:header="720" w:footer="720" w:gutter="0"/>
      <w:pgBorders w:offsetFrom="page">
        <w:top w:val="thinThickSmallGap" w:sz="24" w:space="24" w:color="auto"/>
        <w:left w:val="thinThickSmallGap" w:sz="24" w:space="24" w:color="auto"/>
        <w:bottom w:val="thinThickSmallGap" w:sz="24" w:space="24" w:color="auto"/>
        <w:right w:val="thinThickSmallGap" w:sz="24" w:space="24" w:color="auto"/>
      </w:pgBorder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B7284FE" w14:textId="77777777" w:rsidR="00585366" w:rsidRDefault="00585366" w:rsidP="00C138D3">
      <w:r>
        <w:separator/>
      </w:r>
    </w:p>
  </w:endnote>
  <w:endnote w:type="continuationSeparator" w:id="0">
    <w:p w14:paraId="1E849D67" w14:textId="77777777" w:rsidR="00585366" w:rsidRDefault="00585366" w:rsidP="00C138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ndara">
    <w:panose1 w:val="020E0502030303020204"/>
    <w:charset w:val="00"/>
    <w:family w:val="swiss"/>
    <w:pitch w:val="variable"/>
    <w:sig w:usb0="A00002EF" w:usb1="4000A44B" w:usb2="00000000" w:usb3="00000000" w:csb0="0000019F" w:csb1="00000000"/>
  </w:font>
  <w:font w:name="Segoe UI">
    <w:altName w:val="Cambria"/>
    <w:panose1 w:val="020B0604020202020204"/>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07B8D0" w14:textId="77777777" w:rsidR="004F38B7" w:rsidRDefault="004F38B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jc w:val="right"/>
      <w:tblCellMar>
        <w:top w:w="115" w:type="dxa"/>
        <w:left w:w="115" w:type="dxa"/>
        <w:bottom w:w="115" w:type="dxa"/>
        <w:right w:w="115" w:type="dxa"/>
      </w:tblCellMar>
      <w:tblLook w:val="04A0" w:firstRow="1" w:lastRow="0" w:firstColumn="1" w:lastColumn="0" w:noHBand="0" w:noVBand="1"/>
    </w:tblPr>
    <w:tblGrid>
      <w:gridCol w:w="8892"/>
      <w:gridCol w:w="468"/>
    </w:tblGrid>
    <w:tr w:rsidR="004F38B7" w14:paraId="4119D26C" w14:textId="77777777" w:rsidTr="00C138D3">
      <w:trPr>
        <w:jc w:val="right"/>
      </w:trPr>
      <w:tc>
        <w:tcPr>
          <w:tcW w:w="4795" w:type="dxa"/>
          <w:vAlign w:val="center"/>
        </w:tcPr>
        <w:sdt>
          <w:sdtPr>
            <w:rPr>
              <w:rFonts w:ascii="Candara" w:hAnsi="Candara"/>
              <w:b/>
              <w:caps/>
              <w:color w:val="000000" w:themeColor="text1"/>
            </w:rPr>
            <w:alias w:val="Author"/>
            <w:tag w:val=""/>
            <w:id w:val="1534539408"/>
            <w:placeholder>
              <w:docPart w:val="840E4AA6EDF80A4491C9B8EF2BB053E5"/>
            </w:placeholder>
            <w:dataBinding w:prefixMappings="xmlns:ns0='http://purl.org/dc/elements/1.1/' xmlns:ns1='http://schemas.openxmlformats.org/package/2006/metadata/core-properties' " w:xpath="/ns1:coreProperties[1]/ns0:creator[1]" w:storeItemID="{6C3C8BC8-F283-45AE-878A-BAB7291924A1}"/>
            <w:text/>
          </w:sdtPr>
          <w:sdtEndPr/>
          <w:sdtContent>
            <w:p w14:paraId="30A14E14" w14:textId="543C9DFF" w:rsidR="004F38B7" w:rsidRDefault="004F38B7">
              <w:pPr>
                <w:pStyle w:val="Header"/>
                <w:jc w:val="right"/>
                <w:rPr>
                  <w:caps/>
                  <w:color w:val="000000" w:themeColor="text1"/>
                </w:rPr>
              </w:pPr>
              <w:r w:rsidRPr="00C138D3">
                <w:rPr>
                  <w:rFonts w:ascii="Candara" w:hAnsi="Candara"/>
                  <w:b/>
                  <w:caps/>
                  <w:color w:val="000000" w:themeColor="text1"/>
                </w:rPr>
                <w:t>GUilex avocats</w:t>
              </w:r>
            </w:p>
          </w:sdtContent>
        </w:sdt>
      </w:tc>
      <w:tc>
        <w:tcPr>
          <w:tcW w:w="250" w:type="pct"/>
          <w:shd w:val="clear" w:color="auto" w:fill="00B050"/>
          <w:vAlign w:val="center"/>
        </w:tcPr>
        <w:p w14:paraId="373D2DFB" w14:textId="23B04930" w:rsidR="004F38B7" w:rsidRDefault="004F38B7">
          <w:pPr>
            <w:pStyle w:val="Footer"/>
            <w:tabs>
              <w:tab w:val="clear" w:pos="4680"/>
              <w:tab w:val="clear" w:pos="9360"/>
            </w:tabs>
            <w:jc w:val="center"/>
            <w:rPr>
              <w:color w:val="FFFFFF" w:themeColor="background1"/>
            </w:rPr>
          </w:pPr>
          <w:r>
            <w:rPr>
              <w:noProof w:val="0"/>
              <w:color w:val="FFFFFF" w:themeColor="background1"/>
            </w:rPr>
            <w:fldChar w:fldCharType="begin"/>
          </w:r>
          <w:r>
            <w:rPr>
              <w:color w:val="FFFFFF" w:themeColor="background1"/>
            </w:rPr>
            <w:instrText xml:space="preserve"> PAGE   \* MERGEFORMAT </w:instrText>
          </w:r>
          <w:r>
            <w:rPr>
              <w:noProof w:val="0"/>
              <w:color w:val="FFFFFF" w:themeColor="background1"/>
            </w:rPr>
            <w:fldChar w:fldCharType="separate"/>
          </w:r>
          <w:r>
            <w:rPr>
              <w:color w:val="FFFFFF" w:themeColor="background1"/>
            </w:rPr>
            <w:t>6</w:t>
          </w:r>
          <w:r>
            <w:rPr>
              <w:color w:val="FFFFFF" w:themeColor="background1"/>
            </w:rPr>
            <w:fldChar w:fldCharType="end"/>
          </w:r>
        </w:p>
      </w:tc>
    </w:tr>
  </w:tbl>
  <w:p w14:paraId="2CEA8FB5" w14:textId="77777777" w:rsidR="004F38B7" w:rsidRDefault="004F38B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5B1A21" w14:textId="77777777" w:rsidR="004F38B7" w:rsidRDefault="004F38B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B812904" w14:textId="77777777" w:rsidR="00585366" w:rsidRDefault="00585366" w:rsidP="00C138D3">
      <w:r>
        <w:separator/>
      </w:r>
    </w:p>
  </w:footnote>
  <w:footnote w:type="continuationSeparator" w:id="0">
    <w:p w14:paraId="1A0E37A9" w14:textId="77777777" w:rsidR="00585366" w:rsidRDefault="00585366" w:rsidP="00C138D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5432E3" w14:textId="72A07941" w:rsidR="004F38B7" w:rsidRDefault="004F38B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86762B" w14:textId="3441129F" w:rsidR="004F38B7" w:rsidRDefault="004F38B7">
    <w:pPr>
      <w:pStyle w:val="Header"/>
    </w:pPr>
    <w:r w:rsidRPr="00C138D3">
      <w:rPr>
        <w:rFonts w:ascii="Candara" w:hAnsi="Candara"/>
        <w:b/>
        <w:sz w:val="44"/>
        <w:szCs w:val="44"/>
        <w:lang w:val="en-US"/>
      </w:rPr>
      <w:drawing>
        <wp:anchor distT="0" distB="0" distL="114300" distR="114300" simplePos="0" relativeHeight="251659264" behindDoc="0" locked="0" layoutInCell="1" allowOverlap="1" wp14:anchorId="64480CDB" wp14:editId="56641446">
          <wp:simplePos x="0" y="0"/>
          <wp:positionH relativeFrom="margin">
            <wp:posOffset>-522633</wp:posOffset>
          </wp:positionH>
          <wp:positionV relativeFrom="margin">
            <wp:posOffset>-244861</wp:posOffset>
          </wp:positionV>
          <wp:extent cx="748665" cy="748665"/>
          <wp:effectExtent l="0" t="0" r="635" b="635"/>
          <wp:wrapSquare wrapText="bothSides"/>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alphaModFix/>
                    <a:extLst>
                      <a:ext uri="{28A0092B-C50C-407E-A947-70E740481C1C}">
                        <a14:useLocalDpi xmlns:a14="http://schemas.microsoft.com/office/drawing/2010/main" val="0"/>
                      </a:ext>
                    </a:extLst>
                  </a:blip>
                  <a:srcRect/>
                  <a:stretch>
                    <a:fillRect/>
                  </a:stretch>
                </pic:blipFill>
                <pic:spPr bwMode="auto">
                  <a:xfrm>
                    <a:off x="0" y="0"/>
                    <a:ext cx="748665" cy="748665"/>
                  </a:xfrm>
                  <a:prstGeom prst="rect">
                    <a:avLst/>
                  </a:prstGeom>
                  <a:noFill/>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189354" w14:textId="77777777" w:rsidR="004F38B7" w:rsidRDefault="004F38B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450935"/>
    <w:multiLevelType w:val="multilevel"/>
    <w:tmpl w:val="704C6F4A"/>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 w15:restartNumberingAfterBreak="0">
    <w:nsid w:val="0E191701"/>
    <w:multiLevelType w:val="multilevel"/>
    <w:tmpl w:val="86A029AA"/>
    <w:lvl w:ilvl="0">
      <w:start w:val="1"/>
      <w:numFmt w:val="decimal"/>
      <w:lvlText w:val="%1"/>
      <w:lvlJc w:val="left"/>
      <w:pPr>
        <w:ind w:left="360" w:hanging="360"/>
      </w:pPr>
      <w:rPr>
        <w:rFonts w:hint="default"/>
      </w:rPr>
    </w:lvl>
    <w:lvl w:ilvl="1">
      <w:start w:val="3"/>
      <w:numFmt w:val="decimal"/>
      <w:lvlText w:val="%1.%2"/>
      <w:lvlJc w:val="left"/>
      <w:pPr>
        <w:ind w:left="502"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360" w:hanging="1800"/>
      </w:pPr>
      <w:rPr>
        <w:rFonts w:hint="default"/>
      </w:rPr>
    </w:lvl>
    <w:lvl w:ilvl="8">
      <w:start w:val="1"/>
      <w:numFmt w:val="decimal"/>
      <w:lvlText w:val="%1.%2.%3.%4.%5.%6.%7.%8.%9"/>
      <w:lvlJc w:val="left"/>
      <w:pPr>
        <w:ind w:left="10800" w:hanging="2160"/>
      </w:pPr>
      <w:rPr>
        <w:rFonts w:hint="default"/>
      </w:rPr>
    </w:lvl>
  </w:abstractNum>
  <w:abstractNum w:abstractNumId="2" w15:restartNumberingAfterBreak="0">
    <w:nsid w:val="1329314C"/>
    <w:multiLevelType w:val="multilevel"/>
    <w:tmpl w:val="DB1433AE"/>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3" w15:restartNumberingAfterBreak="0">
    <w:nsid w:val="150A5850"/>
    <w:multiLevelType w:val="multilevel"/>
    <w:tmpl w:val="91329AF0"/>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4" w15:restartNumberingAfterBreak="0">
    <w:nsid w:val="176527A1"/>
    <w:multiLevelType w:val="multilevel"/>
    <w:tmpl w:val="704C6F4A"/>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 w15:restartNumberingAfterBreak="0">
    <w:nsid w:val="1FC91B3D"/>
    <w:multiLevelType w:val="multilevel"/>
    <w:tmpl w:val="4BA0A416"/>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6" w15:restartNumberingAfterBreak="0">
    <w:nsid w:val="21DE06E0"/>
    <w:multiLevelType w:val="multilevel"/>
    <w:tmpl w:val="0262DCDC"/>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 w15:restartNumberingAfterBreak="0">
    <w:nsid w:val="22862977"/>
    <w:multiLevelType w:val="multilevel"/>
    <w:tmpl w:val="D062BAA0"/>
    <w:lvl w:ilvl="0">
      <w:start w:val="1"/>
      <w:numFmt w:val="decimal"/>
      <w:lvlText w:val="%1."/>
      <w:lvlJc w:val="left"/>
      <w:pPr>
        <w:ind w:left="375" w:hanging="375"/>
      </w:pPr>
      <w:rPr>
        <w:rFonts w:hint="default"/>
      </w:rPr>
    </w:lvl>
    <w:lvl w:ilvl="1">
      <w:start w:val="1"/>
      <w:numFmt w:val="decimal"/>
      <w:pStyle w:val="Heading2"/>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29491768"/>
    <w:multiLevelType w:val="multilevel"/>
    <w:tmpl w:val="704C6F4A"/>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9" w15:restartNumberingAfterBreak="0">
    <w:nsid w:val="356635A0"/>
    <w:multiLevelType w:val="multilevel"/>
    <w:tmpl w:val="E2149F88"/>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10" w15:restartNumberingAfterBreak="0">
    <w:nsid w:val="3A5F04E2"/>
    <w:multiLevelType w:val="multilevel"/>
    <w:tmpl w:val="17A6A118"/>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1" w15:restartNumberingAfterBreak="0">
    <w:nsid w:val="3AE10CE4"/>
    <w:multiLevelType w:val="multilevel"/>
    <w:tmpl w:val="704C6F4A"/>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2" w15:restartNumberingAfterBreak="0">
    <w:nsid w:val="473175AE"/>
    <w:multiLevelType w:val="multilevel"/>
    <w:tmpl w:val="B38A2B84"/>
    <w:lvl w:ilvl="0">
      <w:start w:val="4"/>
      <w:numFmt w:val="decimal"/>
      <w:lvlText w:val="%1"/>
      <w:lvlJc w:val="left"/>
      <w:pPr>
        <w:ind w:left="360" w:hanging="360"/>
      </w:pPr>
      <w:rPr>
        <w:rFonts w:hint="default"/>
      </w:rPr>
    </w:lvl>
    <w:lvl w:ilvl="1">
      <w:start w:val="1"/>
      <w:numFmt w:val="decimal"/>
      <w:lvlText w:val="%1.%2"/>
      <w:lvlJc w:val="left"/>
      <w:pPr>
        <w:ind w:left="502"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3" w15:restartNumberingAfterBreak="0">
    <w:nsid w:val="475424F3"/>
    <w:multiLevelType w:val="multilevel"/>
    <w:tmpl w:val="8E806A6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14" w15:restartNumberingAfterBreak="0">
    <w:nsid w:val="483606A3"/>
    <w:multiLevelType w:val="multilevel"/>
    <w:tmpl w:val="ACEECE8C"/>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5" w15:restartNumberingAfterBreak="0">
    <w:nsid w:val="491D20B6"/>
    <w:multiLevelType w:val="multilevel"/>
    <w:tmpl w:val="16507D1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6" w15:restartNumberingAfterBreak="0">
    <w:nsid w:val="58980072"/>
    <w:multiLevelType w:val="multilevel"/>
    <w:tmpl w:val="704C6F4A"/>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7" w15:restartNumberingAfterBreak="0">
    <w:nsid w:val="6DFB76E5"/>
    <w:multiLevelType w:val="multilevel"/>
    <w:tmpl w:val="F502002E"/>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8" w15:restartNumberingAfterBreak="0">
    <w:nsid w:val="707D4BB1"/>
    <w:multiLevelType w:val="multilevel"/>
    <w:tmpl w:val="FE103B80"/>
    <w:lvl w:ilvl="0">
      <w:start w:val="1"/>
      <w:numFmt w:val="decimal"/>
      <w:lvlText w:val="%1."/>
      <w:lvlJc w:val="left"/>
      <w:pPr>
        <w:ind w:left="375" w:hanging="37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71AA5334"/>
    <w:multiLevelType w:val="multilevel"/>
    <w:tmpl w:val="8C980EC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0" w15:restartNumberingAfterBreak="0">
    <w:nsid w:val="781E6941"/>
    <w:multiLevelType w:val="multilevel"/>
    <w:tmpl w:val="5240E54C"/>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1" w15:restartNumberingAfterBreak="0">
    <w:nsid w:val="78ED756C"/>
    <w:multiLevelType w:val="multilevel"/>
    <w:tmpl w:val="410E07C2"/>
    <w:lvl w:ilvl="0">
      <w:start w:val="1"/>
      <w:numFmt w:val="decimal"/>
      <w:pStyle w:val="Heading1"/>
      <w:lvlText w:val="%1."/>
      <w:lvlJc w:val="left"/>
      <w:pPr>
        <w:ind w:left="927" w:hanging="360"/>
      </w:pPr>
      <w:rPr>
        <w:rFonts w:hint="default"/>
      </w:rPr>
    </w:lvl>
    <w:lvl w:ilvl="1">
      <w:start w:val="1"/>
      <w:numFmt w:val="decimal"/>
      <w:isLgl/>
      <w:lvlText w:val="%1.%2."/>
      <w:lvlJc w:val="left"/>
      <w:pPr>
        <w:ind w:left="90" w:firstLine="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2" w15:restartNumberingAfterBreak="0">
    <w:nsid w:val="794E6945"/>
    <w:multiLevelType w:val="multilevel"/>
    <w:tmpl w:val="8AB02C5E"/>
    <w:lvl w:ilvl="0">
      <w:start w:val="1"/>
      <w:numFmt w:val="decimal"/>
      <w:lvlText w:val="%1."/>
      <w:lvlJc w:val="left"/>
      <w:pPr>
        <w:ind w:left="375" w:hanging="37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abstractNumId w:val="21"/>
  </w:num>
  <w:num w:numId="2">
    <w:abstractNumId w:val="18"/>
  </w:num>
  <w:num w:numId="3">
    <w:abstractNumId w:val="7"/>
  </w:num>
  <w:num w:numId="4">
    <w:abstractNumId w:val="1"/>
  </w:num>
  <w:num w:numId="5">
    <w:abstractNumId w:val="20"/>
  </w:num>
  <w:num w:numId="6">
    <w:abstractNumId w:val="15"/>
  </w:num>
  <w:num w:numId="7">
    <w:abstractNumId w:val="17"/>
  </w:num>
  <w:num w:numId="8">
    <w:abstractNumId w:val="9"/>
  </w:num>
  <w:num w:numId="9">
    <w:abstractNumId w:val="2"/>
  </w:num>
  <w:num w:numId="10">
    <w:abstractNumId w:val="14"/>
  </w:num>
  <w:num w:numId="11">
    <w:abstractNumId w:val="22"/>
  </w:num>
  <w:num w:numId="12">
    <w:abstractNumId w:val="6"/>
  </w:num>
  <w:num w:numId="13">
    <w:abstractNumId w:val="19"/>
  </w:num>
  <w:num w:numId="14">
    <w:abstractNumId w:val="12"/>
  </w:num>
  <w:num w:numId="15">
    <w:abstractNumId w:val="16"/>
  </w:num>
  <w:num w:numId="16">
    <w:abstractNumId w:val="8"/>
  </w:num>
  <w:num w:numId="17">
    <w:abstractNumId w:val="5"/>
  </w:num>
  <w:num w:numId="18">
    <w:abstractNumId w:val="13"/>
  </w:num>
  <w:num w:numId="19">
    <w:abstractNumId w:val="0"/>
  </w:num>
  <w:num w:numId="20">
    <w:abstractNumId w:val="3"/>
  </w:num>
  <w:num w:numId="21">
    <w:abstractNumId w:val="4"/>
  </w:num>
  <w:num w:numId="22">
    <w:abstractNumId w:val="11"/>
  </w:num>
  <w:num w:numId="23">
    <w:abstractNumId w:val="10"/>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7"/>
  <w:displayBackgroundShape/>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138D3"/>
    <w:rsid w:val="00000069"/>
    <w:rsid w:val="00001579"/>
    <w:rsid w:val="0002432D"/>
    <w:rsid w:val="00024F43"/>
    <w:rsid w:val="00047311"/>
    <w:rsid w:val="000522E9"/>
    <w:rsid w:val="0005357F"/>
    <w:rsid w:val="00055E4E"/>
    <w:rsid w:val="00057D96"/>
    <w:rsid w:val="00061A7D"/>
    <w:rsid w:val="0006273D"/>
    <w:rsid w:val="00062A38"/>
    <w:rsid w:val="000651E9"/>
    <w:rsid w:val="0007000E"/>
    <w:rsid w:val="000714E6"/>
    <w:rsid w:val="00074F2C"/>
    <w:rsid w:val="000806F1"/>
    <w:rsid w:val="00080F75"/>
    <w:rsid w:val="0008244D"/>
    <w:rsid w:val="000846CA"/>
    <w:rsid w:val="00086971"/>
    <w:rsid w:val="00092484"/>
    <w:rsid w:val="000969C2"/>
    <w:rsid w:val="000A18D8"/>
    <w:rsid w:val="000A652B"/>
    <w:rsid w:val="000B176E"/>
    <w:rsid w:val="000B6A9C"/>
    <w:rsid w:val="000B736D"/>
    <w:rsid w:val="000C1778"/>
    <w:rsid w:val="000C560E"/>
    <w:rsid w:val="000D7091"/>
    <w:rsid w:val="000D7F27"/>
    <w:rsid w:val="000E41A0"/>
    <w:rsid w:val="000F026E"/>
    <w:rsid w:val="000F12BC"/>
    <w:rsid w:val="000F5364"/>
    <w:rsid w:val="000F6504"/>
    <w:rsid w:val="0010105C"/>
    <w:rsid w:val="001076C6"/>
    <w:rsid w:val="00112E85"/>
    <w:rsid w:val="00113048"/>
    <w:rsid w:val="00120CF6"/>
    <w:rsid w:val="0012158A"/>
    <w:rsid w:val="00126E31"/>
    <w:rsid w:val="0013035B"/>
    <w:rsid w:val="00134144"/>
    <w:rsid w:val="0014072F"/>
    <w:rsid w:val="00141B20"/>
    <w:rsid w:val="00147317"/>
    <w:rsid w:val="001500EE"/>
    <w:rsid w:val="001521D8"/>
    <w:rsid w:val="00157168"/>
    <w:rsid w:val="00161CB8"/>
    <w:rsid w:val="00163756"/>
    <w:rsid w:val="001660EC"/>
    <w:rsid w:val="00166607"/>
    <w:rsid w:val="00174597"/>
    <w:rsid w:val="00174981"/>
    <w:rsid w:val="00176180"/>
    <w:rsid w:val="00182E3B"/>
    <w:rsid w:val="00196A54"/>
    <w:rsid w:val="001A0C12"/>
    <w:rsid w:val="001B2DBB"/>
    <w:rsid w:val="001B4805"/>
    <w:rsid w:val="001B5EBE"/>
    <w:rsid w:val="001B755E"/>
    <w:rsid w:val="001C476A"/>
    <w:rsid w:val="001D3028"/>
    <w:rsid w:val="001D723B"/>
    <w:rsid w:val="001D7CDC"/>
    <w:rsid w:val="001E0071"/>
    <w:rsid w:val="001E079F"/>
    <w:rsid w:val="001E1D58"/>
    <w:rsid w:val="001E3198"/>
    <w:rsid w:val="001F0115"/>
    <w:rsid w:val="001F1B35"/>
    <w:rsid w:val="001F5817"/>
    <w:rsid w:val="00200432"/>
    <w:rsid w:val="00202CFB"/>
    <w:rsid w:val="00211E8B"/>
    <w:rsid w:val="00234794"/>
    <w:rsid w:val="00236445"/>
    <w:rsid w:val="00236BE9"/>
    <w:rsid w:val="00241594"/>
    <w:rsid w:val="00266482"/>
    <w:rsid w:val="00273D34"/>
    <w:rsid w:val="00275ECE"/>
    <w:rsid w:val="002802EA"/>
    <w:rsid w:val="00281300"/>
    <w:rsid w:val="00282112"/>
    <w:rsid w:val="002825BA"/>
    <w:rsid w:val="0029674C"/>
    <w:rsid w:val="002B22E1"/>
    <w:rsid w:val="002B3859"/>
    <w:rsid w:val="002B3997"/>
    <w:rsid w:val="002C1838"/>
    <w:rsid w:val="002C2318"/>
    <w:rsid w:val="002D487C"/>
    <w:rsid w:val="002D64A5"/>
    <w:rsid w:val="002D6ACF"/>
    <w:rsid w:val="002E0862"/>
    <w:rsid w:val="002E2C6A"/>
    <w:rsid w:val="002E4465"/>
    <w:rsid w:val="00305E4E"/>
    <w:rsid w:val="00307C43"/>
    <w:rsid w:val="00320F48"/>
    <w:rsid w:val="00323A24"/>
    <w:rsid w:val="00324279"/>
    <w:rsid w:val="00327991"/>
    <w:rsid w:val="00335783"/>
    <w:rsid w:val="0034543A"/>
    <w:rsid w:val="0034595B"/>
    <w:rsid w:val="00347937"/>
    <w:rsid w:val="00347F7A"/>
    <w:rsid w:val="00352218"/>
    <w:rsid w:val="00352C04"/>
    <w:rsid w:val="00356E40"/>
    <w:rsid w:val="00364056"/>
    <w:rsid w:val="00365BDE"/>
    <w:rsid w:val="00370B9B"/>
    <w:rsid w:val="003717E7"/>
    <w:rsid w:val="00375970"/>
    <w:rsid w:val="00381563"/>
    <w:rsid w:val="00385FFC"/>
    <w:rsid w:val="00387217"/>
    <w:rsid w:val="003A1E1F"/>
    <w:rsid w:val="003A2A4B"/>
    <w:rsid w:val="003A3190"/>
    <w:rsid w:val="003A4DFD"/>
    <w:rsid w:val="003A5E32"/>
    <w:rsid w:val="003B3D36"/>
    <w:rsid w:val="003B5CDE"/>
    <w:rsid w:val="003C004B"/>
    <w:rsid w:val="003C17B3"/>
    <w:rsid w:val="003C7661"/>
    <w:rsid w:val="003C7B01"/>
    <w:rsid w:val="003D09E5"/>
    <w:rsid w:val="003D25FE"/>
    <w:rsid w:val="003D4207"/>
    <w:rsid w:val="003D6651"/>
    <w:rsid w:val="003D7B5C"/>
    <w:rsid w:val="003E0477"/>
    <w:rsid w:val="003E20B2"/>
    <w:rsid w:val="003E512D"/>
    <w:rsid w:val="003F3C64"/>
    <w:rsid w:val="003F3F99"/>
    <w:rsid w:val="003F5604"/>
    <w:rsid w:val="004001A4"/>
    <w:rsid w:val="00400354"/>
    <w:rsid w:val="00405DB4"/>
    <w:rsid w:val="004070DF"/>
    <w:rsid w:val="00413FE7"/>
    <w:rsid w:val="00414E40"/>
    <w:rsid w:val="00415D8A"/>
    <w:rsid w:val="00416DB5"/>
    <w:rsid w:val="0041762D"/>
    <w:rsid w:val="00427CA8"/>
    <w:rsid w:val="00431CDB"/>
    <w:rsid w:val="00433C5F"/>
    <w:rsid w:val="00437399"/>
    <w:rsid w:val="0044094D"/>
    <w:rsid w:val="0044178A"/>
    <w:rsid w:val="00442AF5"/>
    <w:rsid w:val="00443BB9"/>
    <w:rsid w:val="004505B7"/>
    <w:rsid w:val="00454FA0"/>
    <w:rsid w:val="00455725"/>
    <w:rsid w:val="00456BB8"/>
    <w:rsid w:val="00456C95"/>
    <w:rsid w:val="004619C3"/>
    <w:rsid w:val="00463BD2"/>
    <w:rsid w:val="00464E35"/>
    <w:rsid w:val="0047128E"/>
    <w:rsid w:val="004726DB"/>
    <w:rsid w:val="00473965"/>
    <w:rsid w:val="004834B8"/>
    <w:rsid w:val="00485366"/>
    <w:rsid w:val="0049007F"/>
    <w:rsid w:val="004904AC"/>
    <w:rsid w:val="004913F4"/>
    <w:rsid w:val="0049354F"/>
    <w:rsid w:val="0049670A"/>
    <w:rsid w:val="004A6824"/>
    <w:rsid w:val="004A7284"/>
    <w:rsid w:val="004B2BEE"/>
    <w:rsid w:val="004C07AE"/>
    <w:rsid w:val="004C2C8B"/>
    <w:rsid w:val="004C62DD"/>
    <w:rsid w:val="004D16B0"/>
    <w:rsid w:val="004D3FE5"/>
    <w:rsid w:val="004E1584"/>
    <w:rsid w:val="004E1651"/>
    <w:rsid w:val="004E4457"/>
    <w:rsid w:val="004E5930"/>
    <w:rsid w:val="004E5D7A"/>
    <w:rsid w:val="004F38B7"/>
    <w:rsid w:val="004F5B7F"/>
    <w:rsid w:val="005006E8"/>
    <w:rsid w:val="00503D75"/>
    <w:rsid w:val="00513037"/>
    <w:rsid w:val="0051364C"/>
    <w:rsid w:val="00521FAC"/>
    <w:rsid w:val="005225CD"/>
    <w:rsid w:val="00532D3E"/>
    <w:rsid w:val="00545739"/>
    <w:rsid w:val="00547FCE"/>
    <w:rsid w:val="00561C4D"/>
    <w:rsid w:val="0056788A"/>
    <w:rsid w:val="00573205"/>
    <w:rsid w:val="005755BD"/>
    <w:rsid w:val="00575AD0"/>
    <w:rsid w:val="00581207"/>
    <w:rsid w:val="00581A73"/>
    <w:rsid w:val="00585366"/>
    <w:rsid w:val="00587205"/>
    <w:rsid w:val="005917EE"/>
    <w:rsid w:val="00592C51"/>
    <w:rsid w:val="005A277B"/>
    <w:rsid w:val="005B62CD"/>
    <w:rsid w:val="005B7165"/>
    <w:rsid w:val="005C20AE"/>
    <w:rsid w:val="005C3397"/>
    <w:rsid w:val="005D10EE"/>
    <w:rsid w:val="005D7B23"/>
    <w:rsid w:val="005E208D"/>
    <w:rsid w:val="005F362E"/>
    <w:rsid w:val="005F65E7"/>
    <w:rsid w:val="00603D05"/>
    <w:rsid w:val="006050CF"/>
    <w:rsid w:val="00606C40"/>
    <w:rsid w:val="006105C3"/>
    <w:rsid w:val="00611787"/>
    <w:rsid w:val="0061296E"/>
    <w:rsid w:val="006203C6"/>
    <w:rsid w:val="006212BF"/>
    <w:rsid w:val="00624CBD"/>
    <w:rsid w:val="00625646"/>
    <w:rsid w:val="006270C4"/>
    <w:rsid w:val="00633320"/>
    <w:rsid w:val="00634B73"/>
    <w:rsid w:val="00651D30"/>
    <w:rsid w:val="00652D27"/>
    <w:rsid w:val="0065389F"/>
    <w:rsid w:val="006549D7"/>
    <w:rsid w:val="00657ACE"/>
    <w:rsid w:val="006626AC"/>
    <w:rsid w:val="006629D0"/>
    <w:rsid w:val="00667460"/>
    <w:rsid w:val="006749BE"/>
    <w:rsid w:val="00677A68"/>
    <w:rsid w:val="00677DCE"/>
    <w:rsid w:val="00681F7E"/>
    <w:rsid w:val="00682086"/>
    <w:rsid w:val="0069019A"/>
    <w:rsid w:val="00692E43"/>
    <w:rsid w:val="006947F6"/>
    <w:rsid w:val="00697AA5"/>
    <w:rsid w:val="00697FD8"/>
    <w:rsid w:val="006A0523"/>
    <w:rsid w:val="006A2AF7"/>
    <w:rsid w:val="006A42E0"/>
    <w:rsid w:val="006A441E"/>
    <w:rsid w:val="006A50E2"/>
    <w:rsid w:val="006A7739"/>
    <w:rsid w:val="006B1298"/>
    <w:rsid w:val="006B7671"/>
    <w:rsid w:val="006C16A2"/>
    <w:rsid w:val="006C33A6"/>
    <w:rsid w:val="006C4B71"/>
    <w:rsid w:val="006C4D64"/>
    <w:rsid w:val="006D496D"/>
    <w:rsid w:val="006D5B89"/>
    <w:rsid w:val="006E08E4"/>
    <w:rsid w:val="006E1B07"/>
    <w:rsid w:val="006E35BE"/>
    <w:rsid w:val="006E4C60"/>
    <w:rsid w:val="006E5BEB"/>
    <w:rsid w:val="006E66B8"/>
    <w:rsid w:val="006F4D0E"/>
    <w:rsid w:val="006F5F80"/>
    <w:rsid w:val="00703106"/>
    <w:rsid w:val="00704655"/>
    <w:rsid w:val="007060AD"/>
    <w:rsid w:val="00706FCD"/>
    <w:rsid w:val="007079AA"/>
    <w:rsid w:val="00710B3B"/>
    <w:rsid w:val="007125DF"/>
    <w:rsid w:val="007159A8"/>
    <w:rsid w:val="007203CD"/>
    <w:rsid w:val="00722870"/>
    <w:rsid w:val="00726EE2"/>
    <w:rsid w:val="007357A1"/>
    <w:rsid w:val="007408F2"/>
    <w:rsid w:val="00743A35"/>
    <w:rsid w:val="00743E81"/>
    <w:rsid w:val="007567A7"/>
    <w:rsid w:val="00771296"/>
    <w:rsid w:val="007715D7"/>
    <w:rsid w:val="007726A5"/>
    <w:rsid w:val="00772A7C"/>
    <w:rsid w:val="0077542B"/>
    <w:rsid w:val="007833A7"/>
    <w:rsid w:val="0078600C"/>
    <w:rsid w:val="00790026"/>
    <w:rsid w:val="0079102B"/>
    <w:rsid w:val="007937D4"/>
    <w:rsid w:val="007947C6"/>
    <w:rsid w:val="007950FF"/>
    <w:rsid w:val="007959AD"/>
    <w:rsid w:val="007A2A1E"/>
    <w:rsid w:val="007A3F70"/>
    <w:rsid w:val="007A4E5A"/>
    <w:rsid w:val="007B1544"/>
    <w:rsid w:val="007B457A"/>
    <w:rsid w:val="007C0439"/>
    <w:rsid w:val="007C0A21"/>
    <w:rsid w:val="007C23A6"/>
    <w:rsid w:val="007C4215"/>
    <w:rsid w:val="007C4285"/>
    <w:rsid w:val="007D1E0E"/>
    <w:rsid w:val="007D2056"/>
    <w:rsid w:val="007E71F9"/>
    <w:rsid w:val="007F2195"/>
    <w:rsid w:val="007F4366"/>
    <w:rsid w:val="007F52E1"/>
    <w:rsid w:val="007F53CF"/>
    <w:rsid w:val="007F5C22"/>
    <w:rsid w:val="007F64D8"/>
    <w:rsid w:val="00804871"/>
    <w:rsid w:val="00810A2B"/>
    <w:rsid w:val="008113CC"/>
    <w:rsid w:val="00832837"/>
    <w:rsid w:val="00833F07"/>
    <w:rsid w:val="00840D3F"/>
    <w:rsid w:val="0084458A"/>
    <w:rsid w:val="00844FC6"/>
    <w:rsid w:val="00846290"/>
    <w:rsid w:val="0086799B"/>
    <w:rsid w:val="008716B8"/>
    <w:rsid w:val="0087729D"/>
    <w:rsid w:val="008776D4"/>
    <w:rsid w:val="008802CB"/>
    <w:rsid w:val="008810B3"/>
    <w:rsid w:val="00886922"/>
    <w:rsid w:val="00886D6C"/>
    <w:rsid w:val="00891A2F"/>
    <w:rsid w:val="00891EF3"/>
    <w:rsid w:val="00895E77"/>
    <w:rsid w:val="00896982"/>
    <w:rsid w:val="00896E65"/>
    <w:rsid w:val="008A3C11"/>
    <w:rsid w:val="008A55C6"/>
    <w:rsid w:val="008A7738"/>
    <w:rsid w:val="008A79F8"/>
    <w:rsid w:val="008B0D2B"/>
    <w:rsid w:val="008B25C7"/>
    <w:rsid w:val="008B483C"/>
    <w:rsid w:val="008B4C35"/>
    <w:rsid w:val="008B6A57"/>
    <w:rsid w:val="008C3792"/>
    <w:rsid w:val="008D1BEF"/>
    <w:rsid w:val="008D4246"/>
    <w:rsid w:val="008E1821"/>
    <w:rsid w:val="008E1C05"/>
    <w:rsid w:val="008E4CC3"/>
    <w:rsid w:val="008E7926"/>
    <w:rsid w:val="008F29FA"/>
    <w:rsid w:val="008F2FEE"/>
    <w:rsid w:val="008F7C80"/>
    <w:rsid w:val="008F7F5E"/>
    <w:rsid w:val="00900496"/>
    <w:rsid w:val="0090210E"/>
    <w:rsid w:val="0090237D"/>
    <w:rsid w:val="00902E1F"/>
    <w:rsid w:val="009051FD"/>
    <w:rsid w:val="00906D06"/>
    <w:rsid w:val="009142C4"/>
    <w:rsid w:val="00916A3D"/>
    <w:rsid w:val="00927A9A"/>
    <w:rsid w:val="009318F4"/>
    <w:rsid w:val="00933B9A"/>
    <w:rsid w:val="0094217A"/>
    <w:rsid w:val="009447EE"/>
    <w:rsid w:val="00953AE5"/>
    <w:rsid w:val="0095623A"/>
    <w:rsid w:val="00973FCB"/>
    <w:rsid w:val="009753D8"/>
    <w:rsid w:val="00975E0F"/>
    <w:rsid w:val="009773C9"/>
    <w:rsid w:val="00993839"/>
    <w:rsid w:val="00993889"/>
    <w:rsid w:val="009A1E7C"/>
    <w:rsid w:val="009A29E4"/>
    <w:rsid w:val="009A34B1"/>
    <w:rsid w:val="009A7390"/>
    <w:rsid w:val="009B38BB"/>
    <w:rsid w:val="009B3C3F"/>
    <w:rsid w:val="009B4106"/>
    <w:rsid w:val="009B7C15"/>
    <w:rsid w:val="009C1182"/>
    <w:rsid w:val="009C1B00"/>
    <w:rsid w:val="009C4729"/>
    <w:rsid w:val="009C5695"/>
    <w:rsid w:val="009D5DF0"/>
    <w:rsid w:val="009D6E8A"/>
    <w:rsid w:val="009F49D0"/>
    <w:rsid w:val="00A03973"/>
    <w:rsid w:val="00A13E64"/>
    <w:rsid w:val="00A27BB6"/>
    <w:rsid w:val="00A308EF"/>
    <w:rsid w:val="00A350BD"/>
    <w:rsid w:val="00A4000B"/>
    <w:rsid w:val="00A465FD"/>
    <w:rsid w:val="00A55E8E"/>
    <w:rsid w:val="00A573D6"/>
    <w:rsid w:val="00A613C9"/>
    <w:rsid w:val="00A631DC"/>
    <w:rsid w:val="00A635F7"/>
    <w:rsid w:val="00A676CD"/>
    <w:rsid w:val="00A67B35"/>
    <w:rsid w:val="00A806FC"/>
    <w:rsid w:val="00A86F97"/>
    <w:rsid w:val="00A95076"/>
    <w:rsid w:val="00AA035E"/>
    <w:rsid w:val="00AA7B4F"/>
    <w:rsid w:val="00AB024C"/>
    <w:rsid w:val="00AB3FA0"/>
    <w:rsid w:val="00AB6DA1"/>
    <w:rsid w:val="00AC6206"/>
    <w:rsid w:val="00AD00BC"/>
    <w:rsid w:val="00AD0498"/>
    <w:rsid w:val="00AD7673"/>
    <w:rsid w:val="00AE2F89"/>
    <w:rsid w:val="00AE73DE"/>
    <w:rsid w:val="00AF0408"/>
    <w:rsid w:val="00AF5819"/>
    <w:rsid w:val="00AF5B03"/>
    <w:rsid w:val="00AF5DEA"/>
    <w:rsid w:val="00B125FA"/>
    <w:rsid w:val="00B14990"/>
    <w:rsid w:val="00B2150F"/>
    <w:rsid w:val="00B23252"/>
    <w:rsid w:val="00B2548D"/>
    <w:rsid w:val="00B26A43"/>
    <w:rsid w:val="00B3472B"/>
    <w:rsid w:val="00B403CA"/>
    <w:rsid w:val="00B43ED0"/>
    <w:rsid w:val="00B46A7B"/>
    <w:rsid w:val="00B46CD6"/>
    <w:rsid w:val="00B516ED"/>
    <w:rsid w:val="00B538C2"/>
    <w:rsid w:val="00B55D52"/>
    <w:rsid w:val="00B659E1"/>
    <w:rsid w:val="00B65D10"/>
    <w:rsid w:val="00B71F44"/>
    <w:rsid w:val="00B767CB"/>
    <w:rsid w:val="00B81062"/>
    <w:rsid w:val="00B83CB7"/>
    <w:rsid w:val="00B925EA"/>
    <w:rsid w:val="00B93DEC"/>
    <w:rsid w:val="00B95B35"/>
    <w:rsid w:val="00B95BD3"/>
    <w:rsid w:val="00BB24C8"/>
    <w:rsid w:val="00BB56A1"/>
    <w:rsid w:val="00BB69BB"/>
    <w:rsid w:val="00BD0541"/>
    <w:rsid w:val="00BD1236"/>
    <w:rsid w:val="00BD2D64"/>
    <w:rsid w:val="00BD34BD"/>
    <w:rsid w:val="00BD392A"/>
    <w:rsid w:val="00BD3A60"/>
    <w:rsid w:val="00BD51F5"/>
    <w:rsid w:val="00BD771D"/>
    <w:rsid w:val="00BE0A9F"/>
    <w:rsid w:val="00BE0E54"/>
    <w:rsid w:val="00BE40B0"/>
    <w:rsid w:val="00BE4AE4"/>
    <w:rsid w:val="00BF19E0"/>
    <w:rsid w:val="00BF214B"/>
    <w:rsid w:val="00BF3AB3"/>
    <w:rsid w:val="00BF60B3"/>
    <w:rsid w:val="00C003A5"/>
    <w:rsid w:val="00C012A6"/>
    <w:rsid w:val="00C026DA"/>
    <w:rsid w:val="00C04295"/>
    <w:rsid w:val="00C138D3"/>
    <w:rsid w:val="00C160C1"/>
    <w:rsid w:val="00C21EE2"/>
    <w:rsid w:val="00C2497B"/>
    <w:rsid w:val="00C27B25"/>
    <w:rsid w:val="00C30DDD"/>
    <w:rsid w:val="00C32ED9"/>
    <w:rsid w:val="00C37BCE"/>
    <w:rsid w:val="00C464CA"/>
    <w:rsid w:val="00C51CE4"/>
    <w:rsid w:val="00C57F60"/>
    <w:rsid w:val="00C62C77"/>
    <w:rsid w:val="00C72FED"/>
    <w:rsid w:val="00C77598"/>
    <w:rsid w:val="00C84D24"/>
    <w:rsid w:val="00C90727"/>
    <w:rsid w:val="00C978F2"/>
    <w:rsid w:val="00CA0AF6"/>
    <w:rsid w:val="00CA0F33"/>
    <w:rsid w:val="00CA62EA"/>
    <w:rsid w:val="00CB1169"/>
    <w:rsid w:val="00CB2FF4"/>
    <w:rsid w:val="00CB42BF"/>
    <w:rsid w:val="00CB4D96"/>
    <w:rsid w:val="00CC20BA"/>
    <w:rsid w:val="00CC2B4A"/>
    <w:rsid w:val="00CC2F2D"/>
    <w:rsid w:val="00CC4DD8"/>
    <w:rsid w:val="00CD6D10"/>
    <w:rsid w:val="00CD7556"/>
    <w:rsid w:val="00CE42D2"/>
    <w:rsid w:val="00CF03E4"/>
    <w:rsid w:val="00CF1EDE"/>
    <w:rsid w:val="00CF2DA0"/>
    <w:rsid w:val="00CF4338"/>
    <w:rsid w:val="00CF68EF"/>
    <w:rsid w:val="00D00680"/>
    <w:rsid w:val="00D04D8D"/>
    <w:rsid w:val="00D05F85"/>
    <w:rsid w:val="00D12B57"/>
    <w:rsid w:val="00D15AD1"/>
    <w:rsid w:val="00D26943"/>
    <w:rsid w:val="00D27078"/>
    <w:rsid w:val="00D31E5D"/>
    <w:rsid w:val="00D35406"/>
    <w:rsid w:val="00D37854"/>
    <w:rsid w:val="00D44537"/>
    <w:rsid w:val="00D5093F"/>
    <w:rsid w:val="00D5289E"/>
    <w:rsid w:val="00D63977"/>
    <w:rsid w:val="00D65868"/>
    <w:rsid w:val="00D668DE"/>
    <w:rsid w:val="00D67C83"/>
    <w:rsid w:val="00D714A4"/>
    <w:rsid w:val="00D7668E"/>
    <w:rsid w:val="00D84F53"/>
    <w:rsid w:val="00D85B6C"/>
    <w:rsid w:val="00D86946"/>
    <w:rsid w:val="00D87880"/>
    <w:rsid w:val="00D87FDD"/>
    <w:rsid w:val="00D95FBE"/>
    <w:rsid w:val="00D96ACD"/>
    <w:rsid w:val="00DA01AE"/>
    <w:rsid w:val="00DA0F1A"/>
    <w:rsid w:val="00DA3DEC"/>
    <w:rsid w:val="00DA73AB"/>
    <w:rsid w:val="00DB1B4F"/>
    <w:rsid w:val="00DB67EC"/>
    <w:rsid w:val="00DC2CB0"/>
    <w:rsid w:val="00DC4606"/>
    <w:rsid w:val="00DD37C0"/>
    <w:rsid w:val="00DD525F"/>
    <w:rsid w:val="00DD6FD9"/>
    <w:rsid w:val="00DD7350"/>
    <w:rsid w:val="00DE14BF"/>
    <w:rsid w:val="00DE2924"/>
    <w:rsid w:val="00DE4100"/>
    <w:rsid w:val="00DE4E2F"/>
    <w:rsid w:val="00DF14C2"/>
    <w:rsid w:val="00DF2A0E"/>
    <w:rsid w:val="00DF33DC"/>
    <w:rsid w:val="00DF3C84"/>
    <w:rsid w:val="00DF44E9"/>
    <w:rsid w:val="00DF4B73"/>
    <w:rsid w:val="00DF54E1"/>
    <w:rsid w:val="00E0474A"/>
    <w:rsid w:val="00E062F2"/>
    <w:rsid w:val="00E117AE"/>
    <w:rsid w:val="00E12EEF"/>
    <w:rsid w:val="00E14FB9"/>
    <w:rsid w:val="00E2054F"/>
    <w:rsid w:val="00E20988"/>
    <w:rsid w:val="00E20D2A"/>
    <w:rsid w:val="00E20E9E"/>
    <w:rsid w:val="00E26D38"/>
    <w:rsid w:val="00E35B74"/>
    <w:rsid w:val="00E41936"/>
    <w:rsid w:val="00E430C6"/>
    <w:rsid w:val="00E464D2"/>
    <w:rsid w:val="00E5022A"/>
    <w:rsid w:val="00E51036"/>
    <w:rsid w:val="00E63114"/>
    <w:rsid w:val="00E63938"/>
    <w:rsid w:val="00E656A8"/>
    <w:rsid w:val="00E67434"/>
    <w:rsid w:val="00E67A5B"/>
    <w:rsid w:val="00E711FC"/>
    <w:rsid w:val="00E712F3"/>
    <w:rsid w:val="00E7494C"/>
    <w:rsid w:val="00E75C4A"/>
    <w:rsid w:val="00E7666E"/>
    <w:rsid w:val="00E8159C"/>
    <w:rsid w:val="00E849DB"/>
    <w:rsid w:val="00E8624E"/>
    <w:rsid w:val="00E92A3B"/>
    <w:rsid w:val="00EA1C85"/>
    <w:rsid w:val="00EA2C82"/>
    <w:rsid w:val="00EA4223"/>
    <w:rsid w:val="00EA5CCE"/>
    <w:rsid w:val="00EB54D0"/>
    <w:rsid w:val="00EC1A30"/>
    <w:rsid w:val="00EC5EA2"/>
    <w:rsid w:val="00EC6362"/>
    <w:rsid w:val="00ED0652"/>
    <w:rsid w:val="00ED1A4C"/>
    <w:rsid w:val="00ED3CE1"/>
    <w:rsid w:val="00ED63FD"/>
    <w:rsid w:val="00EE03B8"/>
    <w:rsid w:val="00EE1030"/>
    <w:rsid w:val="00EE3899"/>
    <w:rsid w:val="00EE6E31"/>
    <w:rsid w:val="00EF244A"/>
    <w:rsid w:val="00F010CA"/>
    <w:rsid w:val="00F01D3D"/>
    <w:rsid w:val="00F01E15"/>
    <w:rsid w:val="00F0308A"/>
    <w:rsid w:val="00F073F4"/>
    <w:rsid w:val="00F133F8"/>
    <w:rsid w:val="00F22DFD"/>
    <w:rsid w:val="00F319B7"/>
    <w:rsid w:val="00F342E3"/>
    <w:rsid w:val="00F35572"/>
    <w:rsid w:val="00F37403"/>
    <w:rsid w:val="00F3796B"/>
    <w:rsid w:val="00F40534"/>
    <w:rsid w:val="00F43B59"/>
    <w:rsid w:val="00F53A33"/>
    <w:rsid w:val="00F53DCA"/>
    <w:rsid w:val="00F63CCE"/>
    <w:rsid w:val="00F648BB"/>
    <w:rsid w:val="00F72297"/>
    <w:rsid w:val="00F7369F"/>
    <w:rsid w:val="00F813AE"/>
    <w:rsid w:val="00F82475"/>
    <w:rsid w:val="00F83723"/>
    <w:rsid w:val="00F903A0"/>
    <w:rsid w:val="00F92FB6"/>
    <w:rsid w:val="00F937E2"/>
    <w:rsid w:val="00FA0F84"/>
    <w:rsid w:val="00FA2ED7"/>
    <w:rsid w:val="00FA4F2B"/>
    <w:rsid w:val="00FA7940"/>
    <w:rsid w:val="00FB6FEB"/>
    <w:rsid w:val="00FC625B"/>
    <w:rsid w:val="00FD09A9"/>
    <w:rsid w:val="00FD2F2B"/>
    <w:rsid w:val="00FF2716"/>
    <w:rsid w:val="00FF4F6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35FAAB2"/>
  <w15:chartTrackingRefBased/>
  <w15:docId w15:val="{55825BC9-B424-E840-BFD9-546BE5F28A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Pr>
      <w:noProof/>
      <w:lang w:val="fr-FR"/>
    </w:rPr>
  </w:style>
  <w:style w:type="paragraph" w:styleId="Heading1">
    <w:name w:val="heading 1"/>
    <w:basedOn w:val="Normal"/>
    <w:next w:val="Normal"/>
    <w:link w:val="Heading1Char"/>
    <w:autoRedefine/>
    <w:uiPriority w:val="9"/>
    <w:qFormat/>
    <w:rsid w:val="00E062F2"/>
    <w:pPr>
      <w:keepNext/>
      <w:keepLines/>
      <w:numPr>
        <w:numId w:val="1"/>
      </w:numPr>
      <w:spacing w:before="240"/>
      <w:outlineLvl w:val="0"/>
    </w:pPr>
    <w:rPr>
      <w:rFonts w:ascii="Candara" w:eastAsiaTheme="majorEastAsia" w:hAnsi="Candara" w:cstheme="majorBidi"/>
      <w:b/>
      <w:color w:val="000000" w:themeColor="text1"/>
      <w:sz w:val="32"/>
      <w:szCs w:val="32"/>
      <w:u w:val="single"/>
    </w:rPr>
  </w:style>
  <w:style w:type="paragraph" w:styleId="Heading2">
    <w:name w:val="heading 2"/>
    <w:basedOn w:val="Normal"/>
    <w:next w:val="Normal"/>
    <w:link w:val="Heading2Char"/>
    <w:autoRedefine/>
    <w:uiPriority w:val="9"/>
    <w:unhideWhenUsed/>
    <w:qFormat/>
    <w:rsid w:val="00E20D2A"/>
    <w:pPr>
      <w:keepNext/>
      <w:keepLines/>
      <w:numPr>
        <w:ilvl w:val="1"/>
        <w:numId w:val="3"/>
      </w:numPr>
      <w:shd w:val="clear" w:color="auto" w:fill="00B050"/>
      <w:spacing w:before="40"/>
      <w:jc w:val="both"/>
      <w:outlineLvl w:val="1"/>
    </w:pPr>
    <w:rPr>
      <w:rFonts w:ascii="Candara" w:eastAsiaTheme="majorEastAsia" w:hAnsi="Candara" w:cs="Times New Roman"/>
      <w:b/>
      <w:bCs/>
      <w:color w:val="FFFFFF" w:themeColor="background1"/>
      <w:sz w:val="28"/>
      <w:szCs w:val="23"/>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E20D2A"/>
    <w:rPr>
      <w:rFonts w:ascii="Candara" w:eastAsiaTheme="majorEastAsia" w:hAnsi="Candara" w:cs="Times New Roman"/>
      <w:b/>
      <w:bCs/>
      <w:noProof/>
      <w:color w:val="FFFFFF" w:themeColor="background1"/>
      <w:sz w:val="28"/>
      <w:szCs w:val="23"/>
      <w:shd w:val="clear" w:color="auto" w:fill="00B050"/>
      <w:lang w:val="fr-FR"/>
    </w:rPr>
  </w:style>
  <w:style w:type="paragraph" w:styleId="TOC1">
    <w:name w:val="toc 1"/>
    <w:basedOn w:val="Normal"/>
    <w:next w:val="Normal"/>
    <w:autoRedefine/>
    <w:uiPriority w:val="39"/>
    <w:unhideWhenUsed/>
    <w:qFormat/>
    <w:rsid w:val="00C138D3"/>
    <w:pPr>
      <w:spacing w:before="120" w:line="360" w:lineRule="auto"/>
    </w:pPr>
    <w:rPr>
      <w:rFonts w:ascii="Candara" w:hAnsi="Candara"/>
      <w:b/>
      <w:bCs/>
      <w:iCs/>
      <w:lang w:val="en-US"/>
    </w:rPr>
  </w:style>
  <w:style w:type="paragraph" w:styleId="TOC2">
    <w:name w:val="toc 2"/>
    <w:basedOn w:val="Normal"/>
    <w:next w:val="Normal"/>
    <w:autoRedefine/>
    <w:uiPriority w:val="39"/>
    <w:unhideWhenUsed/>
    <w:qFormat/>
    <w:rsid w:val="00C138D3"/>
    <w:pPr>
      <w:spacing w:before="120" w:line="360" w:lineRule="auto"/>
      <w:ind w:left="240"/>
    </w:pPr>
    <w:rPr>
      <w:rFonts w:ascii="Candara" w:hAnsi="Candara"/>
      <w:bCs/>
      <w:sz w:val="22"/>
      <w:szCs w:val="22"/>
      <w:lang w:val="en-US"/>
    </w:rPr>
  </w:style>
  <w:style w:type="character" w:styleId="Hyperlink">
    <w:name w:val="Hyperlink"/>
    <w:basedOn w:val="DefaultParagraphFont"/>
    <w:uiPriority w:val="99"/>
    <w:unhideWhenUsed/>
    <w:rsid w:val="00C138D3"/>
    <w:rPr>
      <w:color w:val="0563C1" w:themeColor="hyperlink"/>
      <w:u w:val="single"/>
    </w:rPr>
  </w:style>
  <w:style w:type="character" w:customStyle="1" w:styleId="UnresolvedMention1">
    <w:name w:val="Unresolved Mention1"/>
    <w:basedOn w:val="DefaultParagraphFont"/>
    <w:uiPriority w:val="99"/>
    <w:semiHidden/>
    <w:unhideWhenUsed/>
    <w:rsid w:val="00C138D3"/>
    <w:rPr>
      <w:color w:val="605E5C"/>
      <w:shd w:val="clear" w:color="auto" w:fill="E1DFDD"/>
    </w:rPr>
  </w:style>
  <w:style w:type="paragraph" w:styleId="ListParagraph">
    <w:name w:val="List Paragraph"/>
    <w:basedOn w:val="Normal"/>
    <w:uiPriority w:val="34"/>
    <w:qFormat/>
    <w:rsid w:val="00C138D3"/>
    <w:pPr>
      <w:ind w:left="720"/>
      <w:contextualSpacing/>
    </w:pPr>
  </w:style>
  <w:style w:type="character" w:customStyle="1" w:styleId="Heading1Char">
    <w:name w:val="Heading 1 Char"/>
    <w:basedOn w:val="DefaultParagraphFont"/>
    <w:link w:val="Heading1"/>
    <w:uiPriority w:val="9"/>
    <w:rsid w:val="00E062F2"/>
    <w:rPr>
      <w:rFonts w:ascii="Candara" w:eastAsiaTheme="majorEastAsia" w:hAnsi="Candara" w:cstheme="majorBidi"/>
      <w:b/>
      <w:noProof/>
      <w:color w:val="000000" w:themeColor="text1"/>
      <w:sz w:val="32"/>
      <w:szCs w:val="32"/>
      <w:u w:val="single"/>
      <w:lang w:val="fr-FR"/>
    </w:rPr>
  </w:style>
  <w:style w:type="paragraph" w:styleId="Header">
    <w:name w:val="header"/>
    <w:basedOn w:val="Normal"/>
    <w:link w:val="HeaderChar"/>
    <w:uiPriority w:val="99"/>
    <w:unhideWhenUsed/>
    <w:rsid w:val="00C138D3"/>
    <w:pPr>
      <w:tabs>
        <w:tab w:val="center" w:pos="4680"/>
        <w:tab w:val="right" w:pos="9360"/>
      </w:tabs>
    </w:pPr>
  </w:style>
  <w:style w:type="character" w:customStyle="1" w:styleId="HeaderChar">
    <w:name w:val="Header Char"/>
    <w:basedOn w:val="DefaultParagraphFont"/>
    <w:link w:val="Header"/>
    <w:uiPriority w:val="99"/>
    <w:rsid w:val="00C138D3"/>
    <w:rPr>
      <w:noProof/>
      <w:lang w:val="fr-FR"/>
    </w:rPr>
  </w:style>
  <w:style w:type="paragraph" w:styleId="Footer">
    <w:name w:val="footer"/>
    <w:basedOn w:val="Normal"/>
    <w:link w:val="FooterChar"/>
    <w:uiPriority w:val="99"/>
    <w:unhideWhenUsed/>
    <w:rsid w:val="00C138D3"/>
    <w:pPr>
      <w:tabs>
        <w:tab w:val="center" w:pos="4680"/>
        <w:tab w:val="right" w:pos="9360"/>
      </w:tabs>
    </w:pPr>
  </w:style>
  <w:style w:type="character" w:customStyle="1" w:styleId="FooterChar">
    <w:name w:val="Footer Char"/>
    <w:basedOn w:val="DefaultParagraphFont"/>
    <w:link w:val="Footer"/>
    <w:uiPriority w:val="99"/>
    <w:rsid w:val="00C138D3"/>
    <w:rPr>
      <w:noProof/>
      <w:lang w:val="fr-FR"/>
    </w:rPr>
  </w:style>
  <w:style w:type="paragraph" w:styleId="Quote">
    <w:name w:val="Quote"/>
    <w:basedOn w:val="Normal"/>
    <w:next w:val="Normal"/>
    <w:link w:val="QuoteChar"/>
    <w:autoRedefine/>
    <w:uiPriority w:val="29"/>
    <w:qFormat/>
    <w:rsid w:val="003F3F99"/>
    <w:pPr>
      <w:spacing w:after="360"/>
      <w:jc w:val="both"/>
    </w:pPr>
    <w:rPr>
      <w:rFonts w:ascii="Candara" w:eastAsiaTheme="majorEastAsia" w:hAnsi="Candara" w:cs="Times New Roman"/>
      <w:b/>
      <w:iCs/>
      <w:noProof w:val="0"/>
      <w:color w:val="00B050"/>
      <w:shd w:val="clear" w:color="auto" w:fill="FFFFFF"/>
      <w:lang w:eastAsia="fr-FR"/>
    </w:rPr>
  </w:style>
  <w:style w:type="character" w:customStyle="1" w:styleId="QuoteChar">
    <w:name w:val="Quote Char"/>
    <w:basedOn w:val="DefaultParagraphFont"/>
    <w:link w:val="Quote"/>
    <w:uiPriority w:val="29"/>
    <w:rsid w:val="003F3F99"/>
    <w:rPr>
      <w:rFonts w:ascii="Candara" w:eastAsiaTheme="majorEastAsia" w:hAnsi="Candara" w:cs="Times New Roman"/>
      <w:b/>
      <w:iCs/>
      <w:color w:val="00B050"/>
      <w:lang w:val="fr-FR" w:eastAsia="fr-FR"/>
    </w:rPr>
  </w:style>
  <w:style w:type="character" w:styleId="FollowedHyperlink">
    <w:name w:val="FollowedHyperlink"/>
    <w:basedOn w:val="DefaultParagraphFont"/>
    <w:uiPriority w:val="99"/>
    <w:semiHidden/>
    <w:unhideWhenUsed/>
    <w:rsid w:val="00F7369F"/>
    <w:rPr>
      <w:color w:val="954F72" w:themeColor="followedHyperlink"/>
      <w:u w:val="single"/>
    </w:rPr>
  </w:style>
  <w:style w:type="character" w:styleId="Strong">
    <w:name w:val="Strong"/>
    <w:basedOn w:val="DefaultParagraphFont"/>
    <w:uiPriority w:val="22"/>
    <w:qFormat/>
    <w:rsid w:val="00413FE7"/>
    <w:rPr>
      <w:b/>
      <w:bCs/>
    </w:rPr>
  </w:style>
  <w:style w:type="paragraph" w:styleId="BalloonText">
    <w:name w:val="Balloon Text"/>
    <w:basedOn w:val="Normal"/>
    <w:link w:val="BalloonTextChar"/>
    <w:uiPriority w:val="99"/>
    <w:semiHidden/>
    <w:unhideWhenUsed/>
    <w:rsid w:val="000F12BC"/>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F12BC"/>
    <w:rPr>
      <w:rFonts w:ascii="Segoe UI" w:hAnsi="Segoe UI" w:cs="Segoe UI"/>
      <w:noProof/>
      <w:sz w:val="18"/>
      <w:szCs w:val="18"/>
      <w:lang w:val="fr-FR"/>
    </w:rPr>
  </w:style>
  <w:style w:type="character" w:styleId="CommentReference">
    <w:name w:val="annotation reference"/>
    <w:basedOn w:val="DefaultParagraphFont"/>
    <w:uiPriority w:val="99"/>
    <w:semiHidden/>
    <w:unhideWhenUsed/>
    <w:rsid w:val="008A7738"/>
    <w:rPr>
      <w:sz w:val="16"/>
      <w:szCs w:val="16"/>
    </w:rPr>
  </w:style>
  <w:style w:type="paragraph" w:styleId="CommentText">
    <w:name w:val="annotation text"/>
    <w:basedOn w:val="Normal"/>
    <w:link w:val="CommentTextChar"/>
    <w:uiPriority w:val="99"/>
    <w:semiHidden/>
    <w:unhideWhenUsed/>
    <w:rsid w:val="008A7738"/>
    <w:rPr>
      <w:sz w:val="20"/>
      <w:szCs w:val="20"/>
    </w:rPr>
  </w:style>
  <w:style w:type="character" w:customStyle="1" w:styleId="CommentTextChar">
    <w:name w:val="Comment Text Char"/>
    <w:basedOn w:val="DefaultParagraphFont"/>
    <w:link w:val="CommentText"/>
    <w:uiPriority w:val="99"/>
    <w:semiHidden/>
    <w:rsid w:val="008A7738"/>
    <w:rPr>
      <w:noProof/>
      <w:sz w:val="20"/>
      <w:szCs w:val="20"/>
      <w:lang w:val="fr-FR"/>
    </w:rPr>
  </w:style>
  <w:style w:type="paragraph" w:styleId="CommentSubject">
    <w:name w:val="annotation subject"/>
    <w:basedOn w:val="CommentText"/>
    <w:next w:val="CommentText"/>
    <w:link w:val="CommentSubjectChar"/>
    <w:uiPriority w:val="99"/>
    <w:semiHidden/>
    <w:unhideWhenUsed/>
    <w:rsid w:val="008A7738"/>
    <w:rPr>
      <w:b/>
      <w:bCs/>
    </w:rPr>
  </w:style>
  <w:style w:type="character" w:customStyle="1" w:styleId="CommentSubjectChar">
    <w:name w:val="Comment Subject Char"/>
    <w:basedOn w:val="CommentTextChar"/>
    <w:link w:val="CommentSubject"/>
    <w:uiPriority w:val="99"/>
    <w:semiHidden/>
    <w:rsid w:val="008A7738"/>
    <w:rPr>
      <w:b/>
      <w:bCs/>
      <w:noProof/>
      <w:sz w:val="20"/>
      <w:szCs w:val="20"/>
      <w:lang w:val="fr-FR"/>
    </w:rPr>
  </w:style>
  <w:style w:type="character" w:styleId="UnresolvedMention">
    <w:name w:val="Unresolved Mention"/>
    <w:basedOn w:val="DefaultParagraphFont"/>
    <w:uiPriority w:val="99"/>
    <w:semiHidden/>
    <w:unhideWhenUsed/>
    <w:rsid w:val="00CF4338"/>
    <w:rPr>
      <w:color w:val="605E5C"/>
      <w:shd w:val="clear" w:color="auto" w:fill="E1DFDD"/>
    </w:rPr>
  </w:style>
  <w:style w:type="paragraph" w:styleId="NormalWeb">
    <w:name w:val="Normal (Web)"/>
    <w:basedOn w:val="Normal"/>
    <w:uiPriority w:val="99"/>
    <w:unhideWhenUsed/>
    <w:rsid w:val="00B659E1"/>
    <w:pPr>
      <w:spacing w:before="100" w:beforeAutospacing="1" w:after="100" w:afterAutospacing="1"/>
    </w:pPr>
    <w:rPr>
      <w:rFonts w:ascii="Times New Roman" w:eastAsia="Times New Roman" w:hAnsi="Times New Roman" w:cs="Times New Roman"/>
      <w:noProof w:val="0"/>
      <w:lang w:eastAsia="fr-FR"/>
    </w:rPr>
  </w:style>
  <w:style w:type="character" w:styleId="Emphasis">
    <w:name w:val="Emphasis"/>
    <w:basedOn w:val="DefaultParagraphFont"/>
    <w:uiPriority w:val="20"/>
    <w:qFormat/>
    <w:rsid w:val="00DF3C84"/>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55986906">
      <w:bodyDiv w:val="1"/>
      <w:marLeft w:val="0"/>
      <w:marRight w:val="0"/>
      <w:marTop w:val="0"/>
      <w:marBottom w:val="0"/>
      <w:divBdr>
        <w:top w:val="none" w:sz="0" w:space="0" w:color="auto"/>
        <w:left w:val="none" w:sz="0" w:space="0" w:color="auto"/>
        <w:bottom w:val="none" w:sz="0" w:space="0" w:color="auto"/>
        <w:right w:val="none" w:sz="0" w:space="0" w:color="auto"/>
      </w:divBdr>
    </w:div>
    <w:div w:id="1092314049">
      <w:bodyDiv w:val="1"/>
      <w:marLeft w:val="0"/>
      <w:marRight w:val="0"/>
      <w:marTop w:val="0"/>
      <w:marBottom w:val="0"/>
      <w:divBdr>
        <w:top w:val="none" w:sz="0" w:space="0" w:color="auto"/>
        <w:left w:val="none" w:sz="0" w:space="0" w:color="auto"/>
        <w:bottom w:val="none" w:sz="0" w:space="0" w:color="auto"/>
        <w:right w:val="none" w:sz="0" w:space="0" w:color="auto"/>
      </w:divBdr>
    </w:div>
    <w:div w:id="1641229982">
      <w:bodyDiv w:val="1"/>
      <w:marLeft w:val="0"/>
      <w:marRight w:val="0"/>
      <w:marTop w:val="0"/>
      <w:marBottom w:val="0"/>
      <w:divBdr>
        <w:top w:val="none" w:sz="0" w:space="0" w:color="auto"/>
        <w:left w:val="none" w:sz="0" w:space="0" w:color="auto"/>
        <w:bottom w:val="none" w:sz="0" w:space="0" w:color="auto"/>
        <w:right w:val="none" w:sz="0" w:space="0" w:color="auto"/>
      </w:divBdr>
    </w:div>
    <w:div w:id="18088174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presidence.gov.gn/mise-en-oeuvre-du-programme-simandou-2040-le-general-amara-camara-ministre-secretaire-general-de-la-presidence-officie-la-ceremonie-de-signature-de-la-convention-de-financement-du-projet-de-constru/" TargetMode="External"/><Relationship Id="rId18" Type="http://schemas.openxmlformats.org/officeDocument/2006/relationships/hyperlink" Target="https://mosaiqueguinee.com/2024/11/vulgarisation-des-textes-legislatifs-et-reglementaires-du-secteur-du-tourisme-en-guinee-une-initiative-historique-et-inclusive/" TargetMode="External"/><Relationship Id="rId26" Type="http://schemas.openxmlformats.org/officeDocument/2006/relationships/hyperlink" Target="https://gouvernement.gov.gn/compte-rendu-de-la-session-ordinaire-du-conseil-des-ministres-du-jeudi-23-janvier-2025/" TargetMode="External"/><Relationship Id="rId39" Type="http://schemas.openxmlformats.org/officeDocument/2006/relationships/fontTable" Target="fontTable.xml"/><Relationship Id="rId21" Type="http://schemas.openxmlformats.org/officeDocument/2006/relationships/hyperlink" Target="https://armpguinee.org/validation-du-document-de-la-strategie-nationale-de-formation-des-acteurs-de-la-commande-publique/" TargetMode="External"/><Relationship Id="rId34" Type="http://schemas.openxmlformats.org/officeDocument/2006/relationships/header" Target="head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fonctionpublique.gov.gn/protection-sociale-le-cnt-adopte-le-traite-revise-de-la-cipres-et-la-convention-multilaterale-de-securite-sociale/" TargetMode="External"/><Relationship Id="rId20" Type="http://schemas.openxmlformats.org/officeDocument/2006/relationships/hyperlink" Target="https://www.facebook.com/MFPREMAGN/posts/pfbid0zfGRCAUNgHaeyTSNpKtpLozXpsM6T3HJ6GoLpn8qMsbhiHeg1oNjd5nzZsm47yHSl" TargetMode="External"/><Relationship Id="rId29" Type="http://schemas.openxmlformats.org/officeDocument/2006/relationships/hyperlink" Target="https://convergencegn.com/2025/01/30/guinee-vers-la-revision-des-mesures-fiscales-ne-respectant-pas-les-dispositions-des-codes-minier-et-des-investissements/"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facebook.com/EnergieGN/posts/pfbid033psvynyi8CpDgKCwbwMqgXRU4PpW5Lnw4e5j6kyTpcMa8kD7tJP8Zewq7DUBWBQml" TargetMode="External"/><Relationship Id="rId24" Type="http://schemas.openxmlformats.org/officeDocument/2006/relationships/hyperlink" Target="https://guineenews.org/guinee-lapplication-kulu-une-revolution-numerique-au-service-de-linclusion-financiere-voit-le-jour/" TargetMode="External"/><Relationship Id="rId32" Type="http://schemas.openxmlformats.org/officeDocument/2006/relationships/hyperlink" Target="mailto:contact@guilex-avocats.com" TargetMode="External"/><Relationship Id="rId37" Type="http://schemas.openxmlformats.org/officeDocument/2006/relationships/header" Target="header3.xml"/><Relationship Id="rId40" Type="http://schemas.openxmlformats.org/officeDocument/2006/relationships/glossaryDocument" Target="glossary/document.xml"/><Relationship Id="rId5" Type="http://schemas.openxmlformats.org/officeDocument/2006/relationships/webSettings" Target="webSettings.xml"/><Relationship Id="rId15" Type="http://schemas.openxmlformats.org/officeDocument/2006/relationships/hyperlink" Target="https://fonctionpublique.gov.gn/conseil-scientifique-mtfp-des-textes-majeurs-examines-sous-la-presidence-du-secretaire-general-m-aboubacar-kourouma/" TargetMode="External"/><Relationship Id="rId23" Type="http://schemas.openxmlformats.org/officeDocument/2006/relationships/hyperlink" Target="https://guineenews.org/guinee-suspension-dun-media-en-ligne-pour-incitation-a-linsurrection-hac/" TargetMode="External"/><Relationship Id="rId28" Type="http://schemas.openxmlformats.org/officeDocument/2006/relationships/hyperlink" Target="https://guineenews.org/fiscs-un-moratoire-de-deux-mois-accorde-aux-entreprises-pour-le-paiement-de-limef-2025-impots/" TargetMode="External"/><Relationship Id="rId36" Type="http://schemas.openxmlformats.org/officeDocument/2006/relationships/footer" Target="footer2.xml"/><Relationship Id="rId10" Type="http://schemas.openxmlformats.org/officeDocument/2006/relationships/hyperlink" Target="https://emergencegn.net/guinee-la-menace-de-greve-des-employes-du-secteur-minier-definitivement-levee/" TargetMode="External"/><Relationship Id="rId19" Type="http://schemas.openxmlformats.org/officeDocument/2006/relationships/hyperlink" Target="https://guineenews.org/le-consortium-smb-winning-et-laguipe-sassocient-pour-promouvoir-lemploi-en-guinee/" TargetMode="External"/><Relationship Id="rId31"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hyperlink" Target="https://mosaiqueguinee.com/2025/02/la-cbg-obtient-la-certification-definitive-a-la-norme-asi/" TargetMode="External"/><Relationship Id="rId14" Type="http://schemas.openxmlformats.org/officeDocument/2006/relationships/hyperlink" Target="https://fonctionpublique.gov.gn/conakry-le-ministre-faya-francois-bourouno-preside-la-ceremonie-de-cloture-des-travaux-de-lexamen-de-lavant-projet-du-code-du-travail/" TargetMode="External"/><Relationship Id="rId22" Type="http://schemas.openxmlformats.org/officeDocument/2006/relationships/hyperlink" Target="http://www.guineefutur.info" TargetMode="External"/><Relationship Id="rId27" Type="http://schemas.openxmlformats.org/officeDocument/2006/relationships/hyperlink" Target="https://www.facebook.com/pecheguinee/posts/pfbid026cBZR7ytvATvBta3xcpeSaKErww7gozNttcHTaXa47Ht1928BgoLsVnQ4vmywkBrl" TargetMode="External"/><Relationship Id="rId30" Type="http://schemas.openxmlformats.org/officeDocument/2006/relationships/image" Target="media/image2.tiff"/><Relationship Id="rId35" Type="http://schemas.openxmlformats.org/officeDocument/2006/relationships/footer" Target="footer1.xml"/><Relationship Id="rId8" Type="http://schemas.openxmlformats.org/officeDocument/2006/relationships/image" Target="media/image1.tiff"/><Relationship Id="rId3" Type="http://schemas.openxmlformats.org/officeDocument/2006/relationships/styles" Target="styles.xml"/><Relationship Id="rId12" Type="http://schemas.openxmlformats.org/officeDocument/2006/relationships/hyperlink" Target="https://www.mef.gov.gn/primature-mef-dgip-lettre-circulaire-des-directives-relatives-a-lapplication-du-dehttps://www.mef.gov.gn/primature-mef-dgip-lettre-circulaire-des-directives-relatives-a-lapplication-du-decret-d-0176-du-13-octobre-2024-portant-cadre-general-de-gestion-des-investissements-publics-en-guinee/cret-d-0176-du-13-octobre-2024-portant-cadre-general-de-gestion-des-investissements-publics-en-guinee/" TargetMode="External"/><Relationship Id="rId17" Type="http://schemas.openxmlformats.org/officeDocument/2006/relationships/hyperlink" Target="https://www.facebook.com/MFPREMAGN/posts/pfbid0zfGRCAUNgHaeyTSNpKtpLozXpsM6T3HJ6GoLpn8qMsbhiHeg1oNjd5nzZsm47yHSl" TargetMode="External"/><Relationship Id="rId25" Type="http://schemas.openxmlformats.org/officeDocument/2006/relationships/hyperlink" Target="https://guineenews.org/economie-la-guinee-lance-le-port-community-system-pcs/" TargetMode="External"/><Relationship Id="rId33" Type="http://schemas.openxmlformats.org/officeDocument/2006/relationships/header" Target="header1.xml"/><Relationship Id="rId38"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840E4AA6EDF80A4491C9B8EF2BB053E5"/>
        <w:category>
          <w:name w:val="General"/>
          <w:gallery w:val="placeholder"/>
        </w:category>
        <w:types>
          <w:type w:val="bbPlcHdr"/>
        </w:types>
        <w:behaviors>
          <w:behavior w:val="content"/>
        </w:behaviors>
        <w:guid w:val="{C40AFDA5-F386-FB40-AC25-6404E00E142D}"/>
      </w:docPartPr>
      <w:docPartBody>
        <w:p w:rsidR="00B772CA" w:rsidRDefault="001976EC" w:rsidP="001976EC">
          <w:pPr>
            <w:pStyle w:val="840E4AA6EDF80A4491C9B8EF2BB053E5"/>
          </w:pPr>
          <w:r>
            <w:rPr>
              <w:caps/>
              <w:color w:val="FFFFFF" w:themeColor="background1"/>
            </w:rPr>
            <w:t>[Author Name]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ndara">
    <w:panose1 w:val="020E0502030303020204"/>
    <w:charset w:val="00"/>
    <w:family w:val="swiss"/>
    <w:pitch w:val="variable"/>
    <w:sig w:usb0="A00002EF" w:usb1="4000A44B" w:usb2="00000000" w:usb3="00000000" w:csb0="0000019F" w:csb1="00000000"/>
  </w:font>
  <w:font w:name="Segoe UI">
    <w:altName w:val="Cambria"/>
    <w:panose1 w:val="020B0604020202020204"/>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insDel="0" w:formatting="0" w:inkAnnotations="0"/>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976EC"/>
    <w:rsid w:val="000707C8"/>
    <w:rsid w:val="000A09DC"/>
    <w:rsid w:val="000A37FF"/>
    <w:rsid w:val="001154BC"/>
    <w:rsid w:val="001460D1"/>
    <w:rsid w:val="001976EC"/>
    <w:rsid w:val="001F3C27"/>
    <w:rsid w:val="0023162C"/>
    <w:rsid w:val="00295BDE"/>
    <w:rsid w:val="00343730"/>
    <w:rsid w:val="00365F1D"/>
    <w:rsid w:val="00397D38"/>
    <w:rsid w:val="003F7C18"/>
    <w:rsid w:val="00447543"/>
    <w:rsid w:val="00527516"/>
    <w:rsid w:val="00573276"/>
    <w:rsid w:val="005E1B1F"/>
    <w:rsid w:val="00606A9B"/>
    <w:rsid w:val="0062231F"/>
    <w:rsid w:val="0064326F"/>
    <w:rsid w:val="00671484"/>
    <w:rsid w:val="006743CA"/>
    <w:rsid w:val="006A1494"/>
    <w:rsid w:val="006C233A"/>
    <w:rsid w:val="006E7B27"/>
    <w:rsid w:val="006F31B4"/>
    <w:rsid w:val="00747674"/>
    <w:rsid w:val="007F2E71"/>
    <w:rsid w:val="00834640"/>
    <w:rsid w:val="00847B31"/>
    <w:rsid w:val="00911200"/>
    <w:rsid w:val="00953FB6"/>
    <w:rsid w:val="009F494C"/>
    <w:rsid w:val="00A028AE"/>
    <w:rsid w:val="00A80418"/>
    <w:rsid w:val="00AE5284"/>
    <w:rsid w:val="00B6487B"/>
    <w:rsid w:val="00B772CA"/>
    <w:rsid w:val="00B94455"/>
    <w:rsid w:val="00BE39B2"/>
    <w:rsid w:val="00CA3D3E"/>
    <w:rsid w:val="00D45E7A"/>
    <w:rsid w:val="00DF5CC4"/>
    <w:rsid w:val="00E53D60"/>
    <w:rsid w:val="00E62CD7"/>
    <w:rsid w:val="00EB218E"/>
    <w:rsid w:val="00EB578A"/>
    <w:rsid w:val="00EF4D9D"/>
    <w:rsid w:val="00F24485"/>
    <w:rsid w:val="00FF3BD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328A705E495C744797E67AC81880315D">
    <w:name w:val="328A705E495C744797E67AC81880315D"/>
    <w:rsid w:val="001976EC"/>
  </w:style>
  <w:style w:type="paragraph" w:customStyle="1" w:styleId="53FCFFEED234B4478C06F64FC4AC89F7">
    <w:name w:val="53FCFFEED234B4478C06F64FC4AC89F7"/>
    <w:rsid w:val="001976EC"/>
  </w:style>
  <w:style w:type="paragraph" w:customStyle="1" w:styleId="840E4AA6EDF80A4491C9B8EF2BB053E5">
    <w:name w:val="840E4AA6EDF80A4491C9B8EF2BB053E5"/>
    <w:rsid w:val="001976EC"/>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B2FA8A0-A38D-704C-94DD-207EA2000D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3215</Words>
  <Characters>18326</Characters>
  <Application>Microsoft Office Word</Application>
  <DocSecurity>0</DocSecurity>
  <Lines>152</Lines>
  <Paragraphs>42</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21499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GUilex avocats</dc:creator>
  <cp:keywords/>
  <dc:description/>
  <cp:lastModifiedBy>Microsoft Office User</cp:lastModifiedBy>
  <cp:revision>2</cp:revision>
  <cp:lastPrinted>2024-12-27T09:20:00Z</cp:lastPrinted>
  <dcterms:created xsi:type="dcterms:W3CDTF">2025-02-10T13:11:00Z</dcterms:created>
  <dcterms:modified xsi:type="dcterms:W3CDTF">2025-02-10T13:11:00Z</dcterms:modified>
</cp:coreProperties>
</file>